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2A7F8E"/>
          <w:sz w:val="20"/>
        </w:rPr>
        <w:t>行动方案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1F4E78"/>
          <w:sz w:val="48"/>
        </w:rPr>
        <w:t>AI技术普及与应用推广行动方案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 w:val="0"/>
          <w:color w:val="667085"/>
          <w:sz w:val="24"/>
        </w:rPr>
        <w:t>2026年6月至12月审阅稿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数据依据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2026年5月29日 AI认知与需求调研（134份有效答卷）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工作周期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2026年6月至12月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预算口径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年度预算待审，仅按费用类别测算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审阅稿，现有正式文件保持不变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2026年6月3日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E78"/>
                <w:sz w:val="21"/>
              </w:rPr>
              <w:t xml:space="preserve">核心判断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公司已有 AI 使用基础，但应用仍集中在文案、学习和数据处理，流程协作仅为 17.16%。推广工作应以真实场景和可验证成果为中心。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一、调研依据与行动重点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c>
          <w:tcPr>
            <w:tcW w:type="dxa" w:w="2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观察</w:t>
            </w:r>
          </w:p>
        </w:tc>
        <w:tc>
          <w:tcPr>
            <w:tcW w:type="dxa" w:w="30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量化证据</w:t>
            </w:r>
          </w:p>
        </w:tc>
        <w:tc>
          <w:tcPr>
            <w:tcW w:type="dxa" w:w="41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行动含义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使用基础存在但不均衡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高频使用占 44.0%，低频使用占 30.6%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基础培训与骨干进阶并行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应用集中在低门槛环节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文案 73.13%，学习培训 55.22%，数据处理 50.75%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从高频减负小场景切入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流程协作仍是短板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流程协作仅 17.16%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通过试点逐步验证自动化与协作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障碍同时存在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系统集成、技能知识、安全、可靠性均超过50%</w:t>
            </w:r>
          </w:p>
        </w:tc>
        <w:tc>
          <w:tcPr>
            <w:tcW w:type="dxa" w:w="4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能力建设与治理边界同步推进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领导关注实效与安全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公司领导 n=6，中层领导 n=12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强调基础培训、业务实操、信息保密和人工复核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数据说明：总体多选题比例使用汇总结果表；领导群体意见使用原始结果表匿名归纳。</w:t>
      </w:r>
    </w:p>
    <w:p>
      <w:pPr>
        <w:pStyle w:val="Heading1"/>
      </w:pPr>
      <w:r>
        <w:t>二、总体目标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目标层级</w:t>
            </w:r>
          </w:p>
        </w:tc>
        <w:tc>
          <w:tcPr>
            <w:tcW w:type="dxa" w:w="71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2026年12月目标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组织覆盖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全部正式业务单位完成场景确认，并至少形成1个AI大赛候选项目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重点试点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筛选8至12个重点试点，建立前后对比证据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大赛成果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形成6至8个决赛项目，完成年度AI大赛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成果转化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沉淀不少于3个可复制成果，形成模板、边界和使用说明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能力建设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建立全员基础、岗位实训、项目进阶的分层培训机制</w:t>
            </w:r>
          </w:p>
        </w:tc>
      </w:tr>
    </w:tbl>
    <w:p>
      <w:pPr>
        <w:spacing w:after="40"/>
      </w:pPr>
    </w:p>
    <w:p>
      <w:pPr>
        <w:pStyle w:val="Heading1"/>
      </w:pPr>
      <w:r>
        <w:t>三、工作主线与阶段安排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调研诊断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分层培训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场景摸排</w:t>
            </w:r>
          </w:p>
        </w:tc>
        <w:tc>
          <w:tcPr>
            <w:tcW w:type="dxa" w:w="1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项目试点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AI大赛</w:t>
            </w:r>
          </w:p>
        </w:tc>
        <w:tc>
          <w:tcPr>
            <w:tcW w:type="dxa" w:w="1560"/>
            <w:shd w:fill="2A7F8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成果转化</w:t>
            </w:r>
          </w:p>
        </w:tc>
      </w:tr>
      <w:tr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识别需求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形成能力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建立项目池</w:t>
            </w:r>
          </w:p>
        </w:tc>
        <w:tc>
          <w:tcPr>
            <w:tcW w:type="dxa" w:w="1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验证实效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成果出口</w:t>
            </w:r>
          </w:p>
        </w:tc>
        <w:tc>
          <w:tcPr>
            <w:tcW w:type="dxa" w:w="1560"/>
            <w:shd w:fill="EDF7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复制推广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200"/>
        <w:gridCol w:w="2960"/>
      </w:tblGrid>
      <w:tr>
        <w:tc>
          <w:tcPr>
            <w:tcW w:type="dxa" w:w="1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时间</w:t>
            </w:r>
          </w:p>
        </w:tc>
        <w:tc>
          <w:tcPr>
            <w:tcW w:type="dxa" w:w="5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重点任务</w:t>
            </w:r>
          </w:p>
        </w:tc>
        <w:tc>
          <w:tcPr>
            <w:tcW w:type="dxa" w:w="29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主要交付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6月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发布调研结论，完善章程，确认场景清单，开展安全与基础培训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章程、场景清单、培训资料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7—8月</w:t>
            </w:r>
          </w:p>
        </w:tc>
        <w:tc>
          <w:tcPr>
            <w:tcW w:type="dxa" w:w="5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开展办公提效、业务场景挖掘、知识管理和岗位实训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单位候选项目、实操成果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9—10月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推进自动化、智能体和流程协作试点，记录前后变化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重点试点、验证证据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11月</w:t>
            </w:r>
          </w:p>
        </w:tc>
        <w:tc>
          <w:tcPr>
            <w:tcW w:type="dxa" w:w="5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完成项目辅导、成果完善和大赛初评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决赛项目、展示材料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12月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举办AI大赛决赛，形成复盘和推广清单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获奖成果、案例库、推广建议</w:t>
            </w:r>
          </w:p>
        </w:tc>
      </w:tr>
    </w:tbl>
    <w:p>
      <w:pPr>
        <w:spacing w:after="40"/>
      </w:pPr>
    </w:p>
    <w:p>
      <w:pPr>
        <w:pStyle w:val="Heading1"/>
      </w:pPr>
      <w:r>
        <w:t>四、重点行动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937"/>
          <w:sz w:val="21"/>
        </w:rPr>
        <w:t>推广工作采用分层参与制：全员覆盖安全与基础认知，各单位业务骨干参加场景实训，成熟项目团队参加进阶辅导。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800"/>
        <w:gridCol w:w="2560"/>
      </w:tblGrid>
      <w:tr>
        <w:tc>
          <w:tcPr>
            <w:tcW w:type="dxa" w:w="20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行动</w:t>
            </w:r>
          </w:p>
        </w:tc>
        <w:tc>
          <w:tcPr>
            <w:tcW w:type="dxa" w:w="4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主要内容</w:t>
            </w:r>
          </w:p>
        </w:tc>
        <w:tc>
          <w:tcPr>
            <w:tcW w:type="dxa" w:w="2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责任协同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行动1：建立安全使用基础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明确数据红线、工具边界、人工复核和输出责任，形成低敏场景优先清单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协会理事会、相关职能单位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行动2：开展分层培训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全员基础认知，单位骨干场景实训，成熟项目团队进阶辅导</w:t>
            </w:r>
          </w:p>
        </w:tc>
        <w:tc>
          <w:tcPr>
            <w:tcW w:type="dxa" w:w="2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协会、各单位场景负责人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行动3：完成场景摸排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以单位为主体确认痛点、成果、风险、指标和项目负责人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各正式业务单位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行动4：推进重点试点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优先验证高频、低敏、易测量场景，同时对专业场景实施受控试点</w:t>
            </w:r>
          </w:p>
        </w:tc>
        <w:tc>
          <w:tcPr>
            <w:tcW w:type="dxa" w:w="2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项目团队、专业导师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行动5：以赛促用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将前序培训和试点成果汇聚为AI大赛项目，以实际证据评审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协会、评审机制、项目团队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行动6：成果复制</w:t>
            </w:r>
          </w:p>
        </w:tc>
        <w:tc>
          <w:tcPr>
            <w:tcW w:type="dxa" w:w="4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将成熟项目转化为模板、操作说明、案例和系统需求</w:t>
            </w:r>
          </w:p>
        </w:tc>
        <w:tc>
          <w:tcPr>
            <w:tcW w:type="dxa" w:w="2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协会、业务单位、相关支持单位</w:t>
            </w:r>
          </w:p>
        </w:tc>
      </w:tr>
    </w:tbl>
    <w:p>
      <w:pPr>
        <w:spacing w:after="40"/>
      </w:pPr>
    </w:p>
    <w:p>
      <w:pPr>
        <w:pStyle w:val="Heading1"/>
      </w:pPr>
      <w:r>
        <w:t>五、AI大赛组织机制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采用单位场景项目制，各单位围绕真实工作问题组队申报，可跨单位联合。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候选项目必须说明业务痛点、当前流程、AI辅助方式、数据边界、人工复核点和预期指标。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重点试点必须记录试用前后的时间、质量、差错、反馈或流程变化，不能只展示工具功能。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大赛决赛以业务价值、实际提效证据、可复制性、安全合规、用户体验和成果完整度进行评分。</w:t>
      </w:r>
    </w:p>
    <w:p>
      <w:pPr>
        <w:pStyle w:val="Heading1"/>
      </w:pPr>
      <w:r>
        <w:t>六、保障机制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保障项</w:t>
            </w:r>
          </w:p>
        </w:tc>
        <w:tc>
          <w:tcPr>
            <w:tcW w:type="dxa" w:w="7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安排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组织保障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建立理事会、秘书组、单位场景负责人、专业导师和项目团队协同机制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资源保障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培训、工具资源、大赛、成果转化和系统开发分类测算，年度预算待审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资料保障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建立培训资料库、案例库、模板库和项目台账，按权限管理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风险保障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高风险专业场景必须经过数据边界确认、专业复核和必要审批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复盘保障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按月更新项目台账，阶段性复盘试点效果和问题</w:t>
            </w:r>
          </w:p>
        </w:tc>
      </w:tr>
    </w:tbl>
    <w:p>
      <w:pPr>
        <w:spacing w:after="40"/>
      </w:pPr>
    </w:p>
    <w:p>
      <w:pPr>
        <w:pStyle w:val="Heading1"/>
      </w:pPr>
      <w:r>
        <w:t>七、成效评价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c>
          <w:tcPr>
            <w:tcW w:type="dxa" w:w="15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维度</w:t>
            </w:r>
          </w:p>
        </w:tc>
        <w:tc>
          <w:tcPr>
            <w:tcW w:type="dxa" w:w="36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核心指标</w:t>
            </w:r>
          </w:p>
        </w:tc>
        <w:tc>
          <w:tcPr>
            <w:tcW w:type="dxa" w:w="42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证据形式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覆盖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单位场景确认率、候选项目覆盖率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场景确认表、项目池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能力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培训参与、实操作业、内部分享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签到、作业、培训资料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试点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重点试点数量、完成率、风险问题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项目台账、复盘记录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提效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时间、质量、差错、流程或体验变化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前后对比、使用反馈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转化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决赛项目、可复制成果、推广范围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大赛结果、案例库、推广清单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数据说明：行动方案的结论依据仅为问卷原始结果表、汇总结果表和组织层级核对；预算总额暂不写入，待审议后补充。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内部审阅资料  |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64" w:lineRule="auto"/>
    </w:pPr>
    <w:r>
      <w:rPr>
        <w:rFonts w:ascii="Arial Unicode MS" w:hAnsi="Arial Unicode MS" w:eastAsia="Arial Unicode MS"/>
        <w:b w:val="0"/>
        <w:color w:val="667085"/>
        <w:sz w:val="17"/>
      </w:rPr>
      <w:t>深圳市安居建业投资运营有限公司  |  AI协会工作体系重构审阅稿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