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E94C9">
      <w:pPr>
        <w:rPr>
          <w:rFonts w:hint="eastAsia" w:ascii="宋体" w:hAnsi="宋体" w:eastAsia="宋体" w:cs="宋体"/>
          <w:b/>
          <w:bCs/>
          <w:sz w:val="24"/>
          <w:szCs w:val="32"/>
        </w:rPr>
      </w:pPr>
      <w:r>
        <w:rPr>
          <w:rFonts w:hint="eastAsia" w:ascii="宋体" w:hAnsi="宋体" w:eastAsia="宋体" w:cs="宋体"/>
          <w:b/>
          <w:bCs/>
          <w:sz w:val="24"/>
          <w:szCs w:val="32"/>
        </w:rPr>
        <w:t>REVIEW</w:t>
      </w:r>
    </w:p>
    <w:p w14:paraId="341F7DBE">
      <w:pPr>
        <w:rPr>
          <w:rFonts w:hint="eastAsia" w:ascii="宋体" w:hAnsi="宋体" w:eastAsia="宋体" w:cs="宋体"/>
          <w:sz w:val="22"/>
          <w:szCs w:val="28"/>
        </w:rPr>
      </w:pPr>
      <w:r>
        <w:rPr>
          <w:rFonts w:hint="eastAsia" w:ascii="宋体" w:hAnsi="宋体" w:eastAsia="宋体" w:cs="宋体"/>
          <w:b/>
          <w:bCs/>
          <w:sz w:val="22"/>
          <w:szCs w:val="28"/>
        </w:rPr>
        <w:t>优点</w:t>
      </w:r>
      <w:r>
        <w:rPr>
          <w:rFonts w:hint="eastAsia" w:ascii="宋体" w:hAnsi="宋体" w:eastAsia="宋体" w:cs="宋体"/>
          <w:sz w:val="22"/>
          <w:szCs w:val="28"/>
        </w:rPr>
        <w:t xml:space="preserve"> ：</w:t>
      </w:r>
    </w:p>
    <w:p w14:paraId="1ED0DD11">
      <w:pPr>
        <w:rPr>
          <w:rFonts w:hint="eastAsia" w:ascii="宋体" w:hAnsi="宋体" w:eastAsia="宋体" w:cs="宋体"/>
          <w:sz w:val="22"/>
          <w:szCs w:val="28"/>
          <w:lang w:eastAsia="zh-CN"/>
        </w:rPr>
      </w:pPr>
      <w:r>
        <w:rPr>
          <w:rFonts w:hint="eastAsia" w:ascii="宋体" w:hAnsi="宋体" w:eastAsia="宋体" w:cs="宋体"/>
          <w:sz w:val="22"/>
          <w:szCs w:val="28"/>
        </w:rPr>
        <w:t>1. 清晰的问题阐述和动机</w:t>
      </w:r>
      <w:r>
        <w:rPr>
          <w:rFonts w:hint="eastAsia" w:ascii="宋体" w:hAnsi="宋体" w:eastAsia="宋体" w:cs="宋体"/>
          <w:sz w:val="22"/>
          <w:szCs w:val="28"/>
          <w:lang w:eastAsia="zh-CN"/>
        </w:rPr>
        <w:t>。</w:t>
      </w:r>
      <w:r>
        <w:rPr>
          <w:rFonts w:hint="eastAsia" w:ascii="宋体" w:hAnsi="宋体" w:eastAsia="宋体" w:cs="宋体"/>
          <w:sz w:val="22"/>
          <w:szCs w:val="28"/>
        </w:rPr>
        <w:t>论文的摘要和引言部分非常有力，明确指出现有长向量 ISA（如 RVV 和 SVE）的局限性，即它们仅提供一维访问，无法有效利用移动内核中暴露的有限一维并行度和缓存内计算单元的大规模 SIMD 宽度，这</w:t>
      </w:r>
      <w:r>
        <w:rPr>
          <w:rFonts w:hint="eastAsia" w:ascii="宋体" w:hAnsi="宋体" w:eastAsia="宋体" w:cs="宋体"/>
          <w:sz w:val="22"/>
          <w:szCs w:val="28"/>
        </w:rPr>
        <w:t>证明</w:t>
      </w:r>
      <w:r>
        <w:rPr>
          <w:rFonts w:hint="eastAsia" w:ascii="宋体" w:hAnsi="宋体" w:eastAsia="宋体" w:cs="宋体"/>
          <w:sz w:val="22"/>
          <w:szCs w:val="28"/>
          <w:lang w:val="en-US" w:eastAsia="zh-CN"/>
        </w:rPr>
        <w:t>了</w:t>
      </w:r>
      <w:r>
        <w:rPr>
          <w:rFonts w:hint="eastAsia" w:ascii="宋体" w:hAnsi="宋体" w:eastAsia="宋体" w:cs="宋体"/>
          <w:sz w:val="22"/>
          <w:szCs w:val="28"/>
        </w:rPr>
        <w:t xml:space="preserve"> MVE 提出的多维扩展的必要性。</w:t>
      </w:r>
    </w:p>
    <w:p w14:paraId="0EF95F77">
      <w:pPr>
        <w:rPr>
          <w:rFonts w:hint="eastAsia" w:ascii="宋体" w:hAnsi="宋体" w:eastAsia="宋体" w:cs="宋体"/>
          <w:sz w:val="22"/>
          <w:szCs w:val="28"/>
          <w:lang w:eastAsia="zh-CN"/>
        </w:rPr>
      </w:pPr>
      <w:r>
        <w:rPr>
          <w:rFonts w:hint="eastAsia" w:ascii="宋体" w:hAnsi="宋体" w:eastAsia="宋体" w:cs="宋体"/>
          <w:sz w:val="22"/>
          <w:szCs w:val="28"/>
        </w:rPr>
        <w:t>2. 提出创新的多维 ISA 扩展机制，且概念演示直观易懂</w:t>
      </w:r>
      <w:r>
        <w:rPr>
          <w:rFonts w:hint="eastAsia" w:ascii="宋体" w:hAnsi="宋体" w:eastAsia="宋体" w:cs="宋体"/>
          <w:sz w:val="22"/>
          <w:szCs w:val="28"/>
          <w:lang w:eastAsia="zh-CN"/>
        </w:rPr>
        <w:t>。</w:t>
      </w:r>
      <w:r>
        <w:rPr>
          <w:rFonts w:hint="eastAsia" w:ascii="宋体" w:hAnsi="宋体" w:eastAsia="宋体" w:cs="宋体"/>
          <w:sz w:val="22"/>
          <w:szCs w:val="28"/>
        </w:rPr>
        <w:t>论文提出的 MVE ISA 扩展，通过支持多维跨步式和随机内存访问以及高效的维度级屏蔽执行，解决了现有长向量 ISA (RVV, SVE) 无法有效利用缓存内向量引擎大规模 SIMD 宽度的问题</w:t>
      </w:r>
      <w:r>
        <w:rPr>
          <w:rFonts w:hint="eastAsia" w:ascii="宋体" w:hAnsi="宋体" w:eastAsia="宋体" w:cs="宋体"/>
          <w:sz w:val="22"/>
          <w:szCs w:val="28"/>
          <w:lang w:eastAsia="zh-CN"/>
        </w:rPr>
        <w:t>。</w:t>
      </w:r>
      <w:r>
        <w:rPr>
          <w:rFonts w:hint="eastAsia" w:ascii="宋体" w:hAnsi="宋体" w:eastAsia="宋体" w:cs="宋体"/>
          <w:sz w:val="22"/>
          <w:szCs w:val="28"/>
          <w:lang w:val="en-US" w:eastAsia="zh-CN"/>
        </w:rPr>
        <w:t>且</w:t>
      </w:r>
      <w:r>
        <w:rPr>
          <w:rFonts w:hint="eastAsia" w:ascii="宋体" w:hAnsi="宋体" w:eastAsia="宋体" w:cs="宋体"/>
          <w:sz w:val="22"/>
          <w:szCs w:val="28"/>
        </w:rPr>
        <w:t>论文通过具体的代码片段和算法，详细解释了 MVE 多维向量指令如何将复杂的数据访问和复制模式编码为单个指令，有效展示了其相对于 1D</w:t>
      </w:r>
      <w:r>
        <w:rPr>
          <w:rFonts w:hint="eastAsia" w:ascii="宋体" w:hAnsi="宋体" w:eastAsia="宋体" w:cs="宋体"/>
          <w:sz w:val="22"/>
          <w:szCs w:val="28"/>
          <w:lang w:val="en-US" w:eastAsia="zh-CN"/>
        </w:rPr>
        <w:t xml:space="preserve"> </w:t>
      </w:r>
      <w:r>
        <w:rPr>
          <w:rFonts w:hint="eastAsia" w:ascii="宋体" w:hAnsi="宋体" w:eastAsia="宋体" w:cs="宋体"/>
          <w:sz w:val="22"/>
          <w:szCs w:val="28"/>
        </w:rPr>
        <w:t>ISA 在指令效率上的优势。</w:t>
      </w:r>
    </w:p>
    <w:p w14:paraId="31322501">
      <w:pPr>
        <w:rPr>
          <w:rFonts w:hint="eastAsia" w:ascii="宋体" w:hAnsi="宋体" w:eastAsia="宋体" w:cs="宋体"/>
          <w:sz w:val="22"/>
          <w:szCs w:val="28"/>
          <w:lang w:val="en-US" w:eastAsia="zh-CN"/>
        </w:rPr>
      </w:pPr>
      <w:r>
        <w:rPr>
          <w:rFonts w:hint="eastAsia" w:ascii="宋体" w:hAnsi="宋体" w:eastAsia="宋体" w:cs="宋体"/>
          <w:sz w:val="22"/>
          <w:szCs w:val="28"/>
        </w:rPr>
        <w:t>3. 与 L2 cache 紧密集成，硬件改动小，面积仅 3.6%</w:t>
      </w:r>
      <w:r>
        <w:rPr>
          <w:rFonts w:hint="eastAsia" w:ascii="宋体" w:hAnsi="宋体" w:eastAsia="宋体" w:cs="宋体"/>
          <w:sz w:val="22"/>
          <w:szCs w:val="28"/>
          <w:lang w:eastAsia="zh-CN"/>
        </w:rPr>
        <w:t>。</w:t>
      </w:r>
      <w:r>
        <w:rPr>
          <w:rFonts w:hint="eastAsia" w:ascii="宋体" w:hAnsi="宋体" w:eastAsia="宋体" w:cs="宋体"/>
          <w:sz w:val="22"/>
          <w:szCs w:val="28"/>
        </w:rPr>
        <w:t>通过将 L2 缓存的一半结构重新用作向量计算单元，MVE 实现了与核心紧密集成的长向量引擎，其面积开销仅为标量核心面积的 3.6%，这对于成本敏感的移动设备至关重要</w:t>
      </w:r>
      <w:r>
        <w:rPr>
          <w:rFonts w:hint="eastAsia" w:ascii="宋体" w:hAnsi="宋体" w:eastAsia="宋体" w:cs="宋体"/>
          <w:sz w:val="22"/>
          <w:szCs w:val="28"/>
          <w:lang w:eastAsia="zh-CN"/>
        </w:rPr>
        <w:t>，</w:t>
      </w:r>
      <w:r>
        <w:rPr>
          <w:rFonts w:hint="eastAsia" w:ascii="宋体" w:hAnsi="宋体" w:eastAsia="宋体" w:cs="宋体"/>
          <w:sz w:val="22"/>
          <w:szCs w:val="28"/>
          <w:lang w:val="en-US" w:eastAsia="zh-CN"/>
        </w:rPr>
        <w:t>充分考虑了实际问题和研究目标对象。</w:t>
      </w:r>
    </w:p>
    <w:p w14:paraId="612E774D">
      <w:pPr>
        <w:rPr>
          <w:rFonts w:hint="eastAsia" w:ascii="宋体" w:hAnsi="宋体" w:eastAsia="宋体" w:cs="宋体"/>
          <w:sz w:val="22"/>
          <w:szCs w:val="28"/>
          <w:lang w:eastAsia="zh-CN"/>
        </w:rPr>
      </w:pPr>
      <w:r>
        <w:rPr>
          <w:rFonts w:hint="eastAsia" w:ascii="宋体" w:hAnsi="宋体" w:eastAsia="宋体" w:cs="宋体"/>
          <w:sz w:val="22"/>
          <w:szCs w:val="28"/>
        </w:rPr>
        <w:t>4. 方法论和评估的严谨性，评测覆盖广</w:t>
      </w:r>
      <w:r>
        <w:rPr>
          <w:rFonts w:hint="eastAsia" w:ascii="宋体" w:hAnsi="宋体" w:eastAsia="宋体" w:cs="宋体"/>
          <w:sz w:val="22"/>
          <w:szCs w:val="28"/>
          <w:lang w:eastAsia="zh-CN"/>
        </w:rPr>
        <w:t>。</w:t>
      </w:r>
      <w:r>
        <w:rPr>
          <w:rFonts w:hint="eastAsia" w:ascii="宋体" w:hAnsi="宋体" w:eastAsia="宋体" w:cs="宋体"/>
          <w:sz w:val="22"/>
          <w:szCs w:val="28"/>
        </w:rPr>
        <w:t>论文使用了涵盖 12 个真实移动库的 44 个数据并行内核进行评估，并与 Arm Neon、Adreno 640 GPU、以及各种 In-SRAM 计算方案进行了详细的性能和能耗对比</w:t>
      </w:r>
      <w:r>
        <w:rPr>
          <w:rFonts w:hint="eastAsia" w:ascii="宋体" w:hAnsi="宋体" w:eastAsia="宋体" w:cs="宋体"/>
          <w:sz w:val="22"/>
          <w:szCs w:val="28"/>
          <w:lang w:eastAsia="zh-CN"/>
        </w:rPr>
        <w:t>。</w:t>
      </w:r>
    </w:p>
    <w:p w14:paraId="6D001D64">
      <w:pPr>
        <w:rPr>
          <w:rFonts w:hint="eastAsia" w:ascii="宋体" w:hAnsi="宋体" w:eastAsia="宋体" w:cs="宋体"/>
          <w:sz w:val="22"/>
          <w:szCs w:val="28"/>
        </w:rPr>
      </w:pPr>
      <w:r>
        <w:rPr>
          <w:rFonts w:hint="eastAsia" w:ascii="宋体" w:hAnsi="宋体" w:eastAsia="宋体" w:cs="宋体"/>
          <w:sz w:val="22"/>
          <w:szCs w:val="28"/>
        </w:rPr>
        <w:t>5. 透明且详尽的可重现性支持</w:t>
      </w:r>
      <w:r>
        <w:rPr>
          <w:rFonts w:hint="eastAsia" w:ascii="宋体" w:hAnsi="宋体" w:eastAsia="宋体" w:cs="宋体"/>
          <w:sz w:val="22"/>
          <w:szCs w:val="28"/>
          <w:lang w:eastAsia="zh-CN"/>
        </w:rPr>
        <w:t>。</w:t>
      </w:r>
      <w:r>
        <w:rPr>
          <w:rFonts w:hint="eastAsia" w:ascii="宋体" w:hAnsi="宋体" w:eastAsia="宋体" w:cs="宋体"/>
          <w:sz w:val="22"/>
          <w:szCs w:val="28"/>
        </w:rPr>
        <w:t>附录提供了详尽的 Artifact check-list，并清晰地将实验流程分为移动设备测量和 In-Cache 仿真两大部分，并提供了所需的软件依赖和自动化脚本。这展示了作者对研究成果可重现性的高度重视。</w:t>
      </w:r>
    </w:p>
    <w:p w14:paraId="7DCEA944">
      <w:pPr>
        <w:rPr>
          <w:rFonts w:hint="eastAsia" w:ascii="宋体" w:hAnsi="宋体" w:eastAsia="宋体" w:cs="宋体"/>
          <w:sz w:val="22"/>
          <w:szCs w:val="28"/>
          <w:lang w:eastAsia="zh-CN"/>
        </w:rPr>
      </w:pPr>
    </w:p>
    <w:p w14:paraId="17502BCC">
      <w:pPr>
        <w:rPr>
          <w:rFonts w:hint="eastAsia" w:ascii="宋体" w:hAnsi="宋体" w:eastAsia="宋体" w:cs="宋体"/>
          <w:sz w:val="22"/>
          <w:szCs w:val="28"/>
        </w:rPr>
      </w:pPr>
      <w:r>
        <w:rPr>
          <w:rFonts w:hint="eastAsia" w:ascii="宋体" w:hAnsi="宋体" w:eastAsia="宋体" w:cs="宋体"/>
          <w:b/>
          <w:bCs/>
          <w:sz w:val="22"/>
          <w:szCs w:val="28"/>
        </w:rPr>
        <w:t xml:space="preserve">缺点 </w:t>
      </w:r>
      <w:r>
        <w:rPr>
          <w:rFonts w:hint="eastAsia" w:ascii="宋体" w:hAnsi="宋体" w:eastAsia="宋体" w:cs="宋体"/>
          <w:sz w:val="22"/>
          <w:szCs w:val="28"/>
        </w:rPr>
        <w:t>：</w:t>
      </w:r>
    </w:p>
    <w:p w14:paraId="0084654A">
      <w:pPr>
        <w:rPr>
          <w:rFonts w:hint="eastAsia" w:ascii="宋体" w:hAnsi="宋体" w:eastAsia="宋体" w:cs="宋体"/>
          <w:sz w:val="22"/>
          <w:szCs w:val="28"/>
          <w:lang w:eastAsia="zh-CN"/>
        </w:rPr>
      </w:pPr>
      <w:r>
        <w:rPr>
          <w:rFonts w:hint="eastAsia" w:ascii="宋体" w:hAnsi="宋体" w:eastAsia="宋体" w:cs="宋体"/>
          <w:sz w:val="22"/>
          <w:szCs w:val="28"/>
          <w:lang w:val="en-US" w:eastAsia="zh-CN"/>
        </w:rPr>
        <w:t>1</w:t>
      </w:r>
      <w:r>
        <w:rPr>
          <w:rFonts w:hint="eastAsia" w:ascii="宋体" w:hAnsi="宋体" w:eastAsia="宋体" w:cs="宋体"/>
          <w:sz w:val="22"/>
          <w:szCs w:val="28"/>
        </w:rPr>
        <w:t>. ISA 特性描述的集中度不足</w:t>
      </w:r>
      <w:r>
        <w:rPr>
          <w:rFonts w:hint="eastAsia" w:ascii="宋体" w:hAnsi="宋体" w:eastAsia="宋体" w:cs="宋体"/>
          <w:sz w:val="22"/>
          <w:szCs w:val="28"/>
          <w:lang w:eastAsia="zh-CN"/>
        </w:rPr>
        <w:t>。</w:t>
      </w:r>
      <w:r>
        <w:rPr>
          <w:rFonts w:hint="eastAsia" w:ascii="宋体" w:hAnsi="宋体" w:eastAsia="宋体" w:cs="宋体"/>
          <w:sz w:val="22"/>
          <w:szCs w:val="28"/>
        </w:rPr>
        <w:t>虽然 ISA 介绍全面，但某些关键特性的详细描述分布在 ISA 章节的不同部分，如果能更加集中和突出地介绍这些 MVE 独有的创新点，将有助于提升阅读体验。</w:t>
      </w:r>
    </w:p>
    <w:p w14:paraId="77CA7B79">
      <w:pPr>
        <w:rPr>
          <w:rFonts w:hint="eastAsia" w:ascii="宋体" w:hAnsi="宋体" w:eastAsia="宋体" w:cs="宋体"/>
          <w:sz w:val="22"/>
          <w:szCs w:val="28"/>
          <w:lang w:eastAsia="zh-CN"/>
        </w:rPr>
      </w:pPr>
      <w:r>
        <w:rPr>
          <w:rFonts w:hint="eastAsia" w:ascii="宋体" w:hAnsi="宋体" w:eastAsia="宋体" w:cs="宋体"/>
          <w:sz w:val="22"/>
          <w:szCs w:val="28"/>
          <w:lang w:val="en-US" w:eastAsia="zh-CN"/>
        </w:rPr>
        <w:t>2</w:t>
      </w:r>
      <w:r>
        <w:rPr>
          <w:rFonts w:hint="eastAsia" w:ascii="宋体" w:hAnsi="宋体" w:eastAsia="宋体" w:cs="宋体"/>
          <w:sz w:val="22"/>
          <w:szCs w:val="28"/>
        </w:rPr>
        <w:t>. 图表信息过于密集</w:t>
      </w:r>
      <w:r>
        <w:rPr>
          <w:rFonts w:hint="eastAsia" w:ascii="宋体" w:hAnsi="宋体" w:eastAsia="宋体" w:cs="宋体"/>
          <w:sz w:val="22"/>
          <w:szCs w:val="28"/>
          <w:lang w:eastAsia="zh-CN"/>
        </w:rPr>
        <w:t>。</w:t>
      </w:r>
      <w:r>
        <w:rPr>
          <w:rFonts w:hint="eastAsia" w:ascii="宋体" w:hAnsi="宋体" w:eastAsia="宋体" w:cs="宋体"/>
          <w:sz w:val="22"/>
          <w:szCs w:val="28"/>
        </w:rPr>
        <w:t>某些结果图表虽然包含了丰富的数据，但其色彩和堆叠柱状图的展示方式较为密集，需要读者花费时间对照图例和坐标轴进行理解。</w:t>
      </w:r>
    </w:p>
    <w:p w14:paraId="3742A90D">
      <w:pPr>
        <w:rPr>
          <w:rFonts w:hint="eastAsia" w:ascii="宋体" w:hAnsi="宋体" w:eastAsia="宋体" w:cs="宋体"/>
          <w:sz w:val="22"/>
          <w:szCs w:val="28"/>
          <w:lang w:val="en-US" w:eastAsia="zh-CN"/>
        </w:rPr>
      </w:pPr>
      <w:r>
        <w:rPr>
          <w:rFonts w:hint="eastAsia" w:ascii="宋体" w:hAnsi="宋体" w:eastAsia="宋体" w:cs="宋体"/>
          <w:sz w:val="22"/>
          <w:szCs w:val="28"/>
          <w:lang w:val="en-US" w:eastAsia="zh-CN"/>
        </w:rPr>
        <w:t>3</w:t>
      </w:r>
      <w:r>
        <w:rPr>
          <w:rFonts w:hint="eastAsia" w:ascii="宋体" w:hAnsi="宋体" w:eastAsia="宋体" w:cs="宋体"/>
          <w:sz w:val="22"/>
          <w:szCs w:val="28"/>
        </w:rPr>
        <w:t>. 评估主要依赖仿真与建模，真实硬件实现缺失</w:t>
      </w:r>
      <w:r>
        <w:rPr>
          <w:rFonts w:hint="eastAsia" w:ascii="宋体" w:hAnsi="宋体" w:eastAsia="宋体" w:cs="宋体"/>
          <w:sz w:val="22"/>
          <w:szCs w:val="28"/>
          <w:lang w:eastAsia="zh-CN"/>
        </w:rPr>
        <w:t>。</w:t>
      </w:r>
      <w:r>
        <w:rPr>
          <w:rFonts w:hint="eastAsia" w:ascii="宋体" w:hAnsi="宋体" w:eastAsia="宋体" w:cs="宋体"/>
          <w:sz w:val="22"/>
          <w:szCs w:val="28"/>
        </w:rPr>
        <w:t>虽然方法严谨，但最终成果的验证主要基于 trace-driven, cycle-accurate 仿真器，缺少 ASIC 或 FPGA 上的真实硬件实现验证</w:t>
      </w:r>
      <w:r>
        <w:rPr>
          <w:rFonts w:hint="eastAsia" w:ascii="宋体" w:hAnsi="宋体" w:eastAsia="宋体" w:cs="宋体"/>
          <w:sz w:val="22"/>
          <w:szCs w:val="28"/>
          <w:lang w:eastAsia="zh-CN"/>
        </w:rPr>
        <w:t>。</w:t>
      </w:r>
    </w:p>
    <w:p w14:paraId="7521F4DF"/>
    <w:p w14:paraId="41934BDC"/>
    <w:p w14:paraId="432B074C"/>
    <w:p w14:paraId="38A088B4"/>
    <w:p w14:paraId="7D043007"/>
    <w:p w14:paraId="1D69494D"/>
    <w:p w14:paraId="3948E2A9">
      <w:pPr>
        <w:rPr>
          <w:rFonts w:hint="eastAsia" w:eastAsiaTheme="minorEastAsia"/>
          <w:lang w:eastAsia="zh-CN"/>
        </w:rPr>
      </w:pPr>
      <w:r>
        <w:rPr>
          <w:rFonts w:hint="eastAsia" w:ascii="宋体" w:hAnsi="宋体" w:eastAsia="宋体" w:cs="宋体"/>
          <w:b/>
          <w:bCs/>
          <w:sz w:val="24"/>
          <w:szCs w:val="32"/>
          <w:lang w:val="en-US" w:eastAsia="zh-CN"/>
        </w:rPr>
        <w:t>评分</w:t>
      </w:r>
    </w:p>
    <w:p w14:paraId="1799BF57">
      <w:pPr>
        <w:ind w:firstLine="420" w:firstLineChars="0"/>
        <w:rPr>
          <w:rFonts w:hint="eastAsia"/>
        </w:rPr>
      </w:pPr>
      <w:r>
        <w:rPr>
          <w:rFonts w:hint="eastAsia"/>
        </w:rPr>
        <w:t>该论文在结构组织、问题阐述、方法论的严谨性以及结果的呈现和可重现性方面表现出色。作者清晰地界定了研究问题，并提供了丰富的背景知识和技术细节，尤其是其对 ISA 设计的直观演示和对评估环节的彻底透明化；扣分主要是缺少真实验证，可行性上对缓存结构有依赖。但整体贡献显著，是一篇高质量的学术论文。</w:t>
      </w:r>
    </w:p>
    <w:p w14:paraId="443F1F94">
      <w:pPr>
        <w:ind w:firstLine="420" w:firstLineChars="0"/>
        <w:rPr>
          <w:rFonts w:hint="eastAsia"/>
        </w:rPr>
      </w:pPr>
    </w:p>
    <w:tbl>
      <w:tblPr>
        <w:tblStyle w:val="4"/>
        <w:tblW w:w="84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20"/>
        <w:gridCol w:w="1689"/>
        <w:gridCol w:w="5830"/>
      </w:tblGrid>
      <w:tr w14:paraId="30CEE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16" w:hRule="atLeast"/>
        </w:trPr>
        <w:tc>
          <w:tcPr>
            <w:tcW w:w="920" w:type="dxa"/>
            <w:tcBorders>
              <w:top w:val="single" w:color="FFFFFF" w:sz="4" w:space="0"/>
              <w:left w:val="single" w:color="FFFFFF" w:sz="4" w:space="0"/>
              <w:bottom w:val="single" w:color="FFFFFF" w:sz="12" w:space="0"/>
              <w:right w:val="single" w:color="FFFFFF" w:sz="4" w:space="0"/>
            </w:tcBorders>
            <w:shd w:val="clear" w:color="auto" w:fill="4472C4"/>
            <w:tcMar>
              <w:top w:w="72" w:type="dxa"/>
              <w:left w:w="144" w:type="dxa"/>
              <w:bottom w:w="72" w:type="dxa"/>
              <w:right w:w="144" w:type="dxa"/>
            </w:tcMar>
            <w:vAlign w:val="top"/>
          </w:tcPr>
          <w:p w14:paraId="4435E1DF">
            <w:pPr>
              <w:pStyle w:val="3"/>
              <w:keepNext w:val="0"/>
              <w:keepLines w:val="0"/>
              <w:widowControl/>
              <w:suppressLineNumbers w:val="0"/>
              <w:kinsoku/>
              <w:wordWrap/>
              <w:overflowPunct/>
              <w:jc w:val="left"/>
              <w:rPr>
                <w:sz w:val="18"/>
                <w:szCs w:val="18"/>
              </w:rPr>
            </w:pPr>
            <w:r>
              <w:rPr>
                <w:rFonts w:ascii="微软雅黑" w:hAnsi="微软雅黑" w:eastAsia="微软雅黑" w:cs="微软雅黑"/>
                <w:b/>
                <w:bCs/>
                <w:color w:val="FFFFFF"/>
                <w:sz w:val="18"/>
                <w:szCs w:val="18"/>
              </w:rPr>
              <w:t>维度</w:t>
            </w:r>
          </w:p>
        </w:tc>
        <w:tc>
          <w:tcPr>
            <w:tcW w:w="1689" w:type="dxa"/>
            <w:tcBorders>
              <w:top w:val="single" w:color="FFFFFF" w:sz="4" w:space="0"/>
              <w:left w:val="single" w:color="FFFFFF" w:sz="4" w:space="0"/>
              <w:bottom w:val="single" w:color="FFFFFF" w:sz="12" w:space="0"/>
              <w:right w:val="single" w:color="FFFFFF" w:sz="4" w:space="0"/>
            </w:tcBorders>
            <w:shd w:val="clear" w:color="auto" w:fill="4472C4"/>
            <w:tcMar>
              <w:top w:w="72" w:type="dxa"/>
              <w:left w:w="144" w:type="dxa"/>
              <w:bottom w:w="72" w:type="dxa"/>
              <w:right w:w="144" w:type="dxa"/>
            </w:tcMar>
            <w:vAlign w:val="top"/>
          </w:tcPr>
          <w:p w14:paraId="1ECB9DDE">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b/>
                <w:bCs/>
                <w:color w:val="FFFFFF"/>
                <w:sz w:val="18"/>
                <w:szCs w:val="18"/>
              </w:rPr>
              <w:t>分数</w:t>
            </w:r>
          </w:p>
        </w:tc>
        <w:tc>
          <w:tcPr>
            <w:tcW w:w="5830" w:type="dxa"/>
            <w:tcBorders>
              <w:top w:val="single" w:color="FFFFFF" w:sz="4" w:space="0"/>
              <w:left w:val="single" w:color="FFFFFF" w:sz="4" w:space="0"/>
              <w:bottom w:val="single" w:color="FFFFFF" w:sz="12" w:space="0"/>
              <w:right w:val="single" w:color="FFFFFF" w:sz="4" w:space="0"/>
            </w:tcBorders>
            <w:shd w:val="clear" w:color="auto" w:fill="4472C4"/>
            <w:tcMar>
              <w:top w:w="72" w:type="dxa"/>
              <w:left w:w="144" w:type="dxa"/>
              <w:bottom w:w="72" w:type="dxa"/>
              <w:right w:w="144" w:type="dxa"/>
            </w:tcMar>
            <w:vAlign w:val="top"/>
          </w:tcPr>
          <w:p w14:paraId="7E03ABDE">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b/>
                <w:bCs/>
                <w:color w:val="FFFFFF"/>
                <w:sz w:val="18"/>
                <w:szCs w:val="18"/>
              </w:rPr>
              <w:t>说明</w:t>
            </w:r>
          </w:p>
        </w:tc>
      </w:tr>
      <w:tr w14:paraId="077F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2" w:hRule="atLeast"/>
        </w:trPr>
        <w:tc>
          <w:tcPr>
            <w:tcW w:w="920" w:type="dxa"/>
            <w:tcBorders>
              <w:top w:val="single" w:color="FFFFFF" w:sz="4" w:space="0"/>
              <w:left w:val="single" w:color="FFFFFF" w:sz="4" w:space="0"/>
              <w:bottom w:val="single" w:color="FFFFFF" w:sz="12" w:space="0"/>
              <w:right w:val="single" w:color="FFFFFF" w:sz="4" w:space="0"/>
            </w:tcBorders>
            <w:shd w:val="clear" w:color="auto" w:fill="CFD5EA"/>
            <w:tcMar>
              <w:top w:w="72" w:type="dxa"/>
              <w:left w:w="144" w:type="dxa"/>
              <w:bottom w:w="72" w:type="dxa"/>
              <w:right w:w="144" w:type="dxa"/>
            </w:tcMar>
            <w:vAlign w:val="top"/>
          </w:tcPr>
          <w:p w14:paraId="243F39CA">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创新性</w:t>
            </w:r>
          </w:p>
        </w:tc>
        <w:tc>
          <w:tcPr>
            <w:tcW w:w="1689" w:type="dxa"/>
            <w:tcBorders>
              <w:top w:val="single" w:color="FFFFFF" w:sz="4" w:space="0"/>
              <w:left w:val="single" w:color="FFFFFF" w:sz="4" w:space="0"/>
              <w:bottom w:val="single" w:color="FFFFFF" w:sz="12" w:space="0"/>
              <w:right w:val="single" w:color="FFFFFF" w:sz="4" w:space="0"/>
            </w:tcBorders>
            <w:shd w:val="clear" w:color="auto" w:fill="CFD5EA"/>
            <w:tcMar>
              <w:top w:w="72" w:type="dxa"/>
              <w:left w:w="144" w:type="dxa"/>
              <w:bottom w:w="72" w:type="dxa"/>
              <w:right w:w="144" w:type="dxa"/>
            </w:tcMar>
            <w:vAlign w:val="top"/>
          </w:tcPr>
          <w:p w14:paraId="174CA09C">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5/5</w:t>
            </w:r>
          </w:p>
        </w:tc>
        <w:tc>
          <w:tcPr>
            <w:tcW w:w="5830" w:type="dxa"/>
            <w:tcBorders>
              <w:top w:val="single" w:color="FFFFFF" w:sz="4" w:space="0"/>
              <w:left w:val="single" w:color="FFFFFF" w:sz="4" w:space="0"/>
              <w:bottom w:val="single" w:color="FFFFFF" w:sz="12" w:space="0"/>
              <w:right w:val="single" w:color="FFFFFF" w:sz="4" w:space="0"/>
            </w:tcBorders>
            <w:shd w:val="clear" w:color="auto" w:fill="CFD5EA"/>
            <w:tcMar>
              <w:top w:w="72" w:type="dxa"/>
              <w:left w:w="144" w:type="dxa"/>
              <w:bottom w:w="72" w:type="dxa"/>
              <w:right w:w="144" w:type="dxa"/>
            </w:tcMar>
            <w:vAlign w:val="top"/>
          </w:tcPr>
          <w:p w14:paraId="2E5D123B">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多维 ISA + in</w:t>
            </w:r>
            <w:r>
              <w:rPr>
                <w:rFonts w:hint="eastAsia" w:ascii="微软雅黑" w:hAnsi="微软雅黑" w:eastAsia="微软雅黑" w:cs="微软雅黑"/>
                <w:color w:val="000000"/>
                <w:sz w:val="18"/>
                <w:szCs w:val="18"/>
              </w:rPr>
              <w:noBreakHyphen/>
            </w:r>
            <w:r>
              <w:rPr>
                <w:rFonts w:hint="eastAsia" w:ascii="微软雅黑" w:hAnsi="微软雅黑" w:eastAsia="微软雅黑" w:cs="微软雅黑"/>
                <w:color w:val="000000"/>
                <w:sz w:val="18"/>
                <w:szCs w:val="18"/>
              </w:rPr>
              <w:t>cache 结合</w:t>
            </w:r>
          </w:p>
        </w:tc>
      </w:tr>
      <w:tr w14:paraId="23421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92" w:hRule="atLeast"/>
        </w:trPr>
        <w:tc>
          <w:tcPr>
            <w:tcW w:w="920" w:type="dxa"/>
            <w:tcBorders>
              <w:top w:val="single" w:color="FFFFFF" w:sz="4" w:space="0"/>
              <w:left w:val="single" w:color="FFFFFF" w:sz="4" w:space="0"/>
              <w:bottom w:val="single" w:color="FFFFFF" w:sz="12" w:space="0"/>
              <w:right w:val="single" w:color="FFFFFF" w:sz="4" w:space="0"/>
            </w:tcBorders>
            <w:shd w:val="clear" w:color="auto" w:fill="E9EBF5"/>
            <w:tcMar>
              <w:top w:w="72" w:type="dxa"/>
              <w:left w:w="144" w:type="dxa"/>
              <w:bottom w:w="72" w:type="dxa"/>
              <w:right w:w="144" w:type="dxa"/>
            </w:tcMar>
            <w:vAlign w:val="top"/>
          </w:tcPr>
          <w:p w14:paraId="752933FE">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技术深度</w:t>
            </w:r>
          </w:p>
        </w:tc>
        <w:tc>
          <w:tcPr>
            <w:tcW w:w="1689" w:type="dxa"/>
            <w:tcBorders>
              <w:top w:val="single" w:color="FFFFFF" w:sz="4" w:space="0"/>
              <w:left w:val="single" w:color="FFFFFF" w:sz="4" w:space="0"/>
              <w:bottom w:val="single" w:color="FFFFFF" w:sz="12" w:space="0"/>
              <w:right w:val="single" w:color="FFFFFF" w:sz="4" w:space="0"/>
            </w:tcBorders>
            <w:shd w:val="clear" w:color="auto" w:fill="E9EBF5"/>
            <w:tcMar>
              <w:top w:w="72" w:type="dxa"/>
              <w:left w:w="144" w:type="dxa"/>
              <w:bottom w:w="72" w:type="dxa"/>
              <w:right w:w="144" w:type="dxa"/>
            </w:tcMar>
            <w:vAlign w:val="top"/>
          </w:tcPr>
          <w:p w14:paraId="5F71AE29">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4.5/5</w:t>
            </w:r>
          </w:p>
        </w:tc>
        <w:tc>
          <w:tcPr>
            <w:tcW w:w="5830" w:type="dxa"/>
            <w:tcBorders>
              <w:top w:val="single" w:color="FFFFFF" w:sz="4" w:space="0"/>
              <w:left w:val="single" w:color="FFFFFF" w:sz="4" w:space="0"/>
              <w:bottom w:val="single" w:color="FFFFFF" w:sz="12" w:space="0"/>
              <w:right w:val="single" w:color="FFFFFF" w:sz="4" w:space="0"/>
            </w:tcBorders>
            <w:shd w:val="clear" w:color="auto" w:fill="E9EBF5"/>
            <w:tcMar>
              <w:top w:w="72" w:type="dxa"/>
              <w:left w:w="144" w:type="dxa"/>
              <w:bottom w:w="72" w:type="dxa"/>
              <w:right w:w="144" w:type="dxa"/>
            </w:tcMar>
            <w:vAlign w:val="top"/>
          </w:tcPr>
          <w:p w14:paraId="03A5E115">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ISA/编译器/缓存协同</w:t>
            </w:r>
          </w:p>
        </w:tc>
      </w:tr>
      <w:tr w14:paraId="6CD67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14" w:hRule="atLeast"/>
        </w:trPr>
        <w:tc>
          <w:tcPr>
            <w:tcW w:w="920" w:type="dxa"/>
            <w:tcBorders>
              <w:top w:val="single" w:color="FFFFFF" w:sz="4" w:space="0"/>
              <w:left w:val="single" w:color="FFFFFF" w:sz="4" w:space="0"/>
              <w:bottom w:val="single" w:color="FFFFFF" w:sz="12" w:space="0"/>
              <w:right w:val="single" w:color="FFFFFF" w:sz="4" w:space="0"/>
            </w:tcBorders>
            <w:shd w:val="clear" w:color="auto" w:fill="CFD5EA"/>
            <w:tcMar>
              <w:top w:w="72" w:type="dxa"/>
              <w:left w:w="144" w:type="dxa"/>
              <w:bottom w:w="72" w:type="dxa"/>
              <w:right w:w="144" w:type="dxa"/>
            </w:tcMar>
            <w:vAlign w:val="top"/>
          </w:tcPr>
          <w:p w14:paraId="029FD7D6">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评估充分性</w:t>
            </w:r>
          </w:p>
        </w:tc>
        <w:tc>
          <w:tcPr>
            <w:tcW w:w="1689" w:type="dxa"/>
            <w:tcBorders>
              <w:top w:val="single" w:color="FFFFFF" w:sz="4" w:space="0"/>
              <w:left w:val="single" w:color="FFFFFF" w:sz="4" w:space="0"/>
              <w:bottom w:val="single" w:color="FFFFFF" w:sz="12" w:space="0"/>
              <w:right w:val="single" w:color="FFFFFF" w:sz="4" w:space="0"/>
            </w:tcBorders>
            <w:shd w:val="clear" w:color="auto" w:fill="CFD5EA"/>
            <w:tcMar>
              <w:top w:w="72" w:type="dxa"/>
              <w:left w:w="144" w:type="dxa"/>
              <w:bottom w:w="72" w:type="dxa"/>
              <w:right w:w="144" w:type="dxa"/>
            </w:tcMar>
            <w:vAlign w:val="top"/>
          </w:tcPr>
          <w:p w14:paraId="72248836">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4/5</w:t>
            </w:r>
          </w:p>
        </w:tc>
        <w:tc>
          <w:tcPr>
            <w:tcW w:w="5830" w:type="dxa"/>
            <w:tcBorders>
              <w:top w:val="single" w:color="FFFFFF" w:sz="4" w:space="0"/>
              <w:left w:val="single" w:color="FFFFFF" w:sz="4" w:space="0"/>
              <w:bottom w:val="single" w:color="FFFFFF" w:sz="12" w:space="0"/>
              <w:right w:val="single" w:color="FFFFFF" w:sz="4" w:space="0"/>
            </w:tcBorders>
            <w:shd w:val="clear" w:color="auto" w:fill="CFD5EA"/>
            <w:tcMar>
              <w:top w:w="72" w:type="dxa"/>
              <w:left w:w="144" w:type="dxa"/>
              <w:bottom w:w="72" w:type="dxa"/>
              <w:right w:w="144" w:type="dxa"/>
            </w:tcMar>
            <w:vAlign w:val="top"/>
          </w:tcPr>
          <w:p w14:paraId="093106EC">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范围广但多为仿真</w:t>
            </w:r>
          </w:p>
        </w:tc>
      </w:tr>
      <w:tr w14:paraId="59663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66" w:hRule="atLeast"/>
        </w:trPr>
        <w:tc>
          <w:tcPr>
            <w:tcW w:w="920" w:type="dxa"/>
            <w:tcBorders>
              <w:top w:val="single" w:color="FFFFFF" w:sz="4" w:space="0"/>
              <w:left w:val="single" w:color="FFFFFF" w:sz="4" w:space="0"/>
              <w:bottom w:val="single" w:color="FFFFFF" w:sz="12" w:space="0"/>
              <w:right w:val="single" w:color="FFFFFF" w:sz="4" w:space="0"/>
            </w:tcBorders>
            <w:shd w:val="clear" w:color="auto" w:fill="E9EBF5"/>
            <w:tcMar>
              <w:top w:w="72" w:type="dxa"/>
              <w:left w:w="144" w:type="dxa"/>
              <w:bottom w:w="72" w:type="dxa"/>
              <w:right w:w="144" w:type="dxa"/>
            </w:tcMar>
            <w:vAlign w:val="top"/>
          </w:tcPr>
          <w:p w14:paraId="2611A5BB">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工程可行性</w:t>
            </w:r>
          </w:p>
        </w:tc>
        <w:tc>
          <w:tcPr>
            <w:tcW w:w="1689" w:type="dxa"/>
            <w:tcBorders>
              <w:top w:val="single" w:color="FFFFFF" w:sz="4" w:space="0"/>
              <w:left w:val="single" w:color="FFFFFF" w:sz="4" w:space="0"/>
              <w:bottom w:val="single" w:color="FFFFFF" w:sz="12" w:space="0"/>
              <w:right w:val="single" w:color="FFFFFF" w:sz="4" w:space="0"/>
            </w:tcBorders>
            <w:shd w:val="clear" w:color="auto" w:fill="E9EBF5"/>
            <w:tcMar>
              <w:top w:w="72" w:type="dxa"/>
              <w:left w:w="144" w:type="dxa"/>
              <w:bottom w:w="72" w:type="dxa"/>
              <w:right w:w="144" w:type="dxa"/>
            </w:tcMar>
            <w:vAlign w:val="top"/>
          </w:tcPr>
          <w:p w14:paraId="087149DF">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4/5</w:t>
            </w:r>
          </w:p>
        </w:tc>
        <w:tc>
          <w:tcPr>
            <w:tcW w:w="5830" w:type="dxa"/>
            <w:tcBorders>
              <w:top w:val="single" w:color="FFFFFF" w:sz="4" w:space="0"/>
              <w:left w:val="single" w:color="FFFFFF" w:sz="4" w:space="0"/>
              <w:bottom w:val="single" w:color="FFFFFF" w:sz="12" w:space="0"/>
              <w:right w:val="single" w:color="FFFFFF" w:sz="4" w:space="0"/>
            </w:tcBorders>
            <w:shd w:val="clear" w:color="auto" w:fill="E9EBF5"/>
            <w:tcMar>
              <w:top w:w="72" w:type="dxa"/>
              <w:left w:w="144" w:type="dxa"/>
              <w:bottom w:w="72" w:type="dxa"/>
              <w:right w:w="144" w:type="dxa"/>
            </w:tcMar>
            <w:vAlign w:val="top"/>
          </w:tcPr>
          <w:p w14:paraId="1D11F6C4">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低面积但依赖 cache 结构</w:t>
            </w:r>
          </w:p>
        </w:tc>
      </w:tr>
      <w:tr w14:paraId="46D7F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88" w:hRule="atLeast"/>
        </w:trPr>
        <w:tc>
          <w:tcPr>
            <w:tcW w:w="920" w:type="dxa"/>
            <w:tcBorders>
              <w:top w:val="single" w:color="FFFFFF" w:sz="4" w:space="0"/>
              <w:left w:val="single" w:color="FFFFFF" w:sz="4" w:space="0"/>
              <w:bottom w:val="single" w:color="FFFFFF" w:sz="12" w:space="0"/>
              <w:right w:val="single" w:color="FFFFFF" w:sz="4" w:space="0"/>
            </w:tcBorders>
            <w:shd w:val="clear" w:color="auto" w:fill="CFD5EA"/>
            <w:tcMar>
              <w:top w:w="72" w:type="dxa"/>
              <w:left w:w="144" w:type="dxa"/>
              <w:bottom w:w="72" w:type="dxa"/>
              <w:right w:w="144" w:type="dxa"/>
            </w:tcMar>
            <w:vAlign w:val="top"/>
          </w:tcPr>
          <w:p w14:paraId="65598AF5">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综合评分</w:t>
            </w:r>
          </w:p>
        </w:tc>
        <w:tc>
          <w:tcPr>
            <w:tcW w:w="1689" w:type="dxa"/>
            <w:tcBorders>
              <w:top w:val="single" w:color="FFFFFF" w:sz="4" w:space="0"/>
              <w:left w:val="single" w:color="FFFFFF" w:sz="4" w:space="0"/>
              <w:bottom w:val="single" w:color="FFFFFF" w:sz="12" w:space="0"/>
              <w:right w:val="single" w:color="FFFFFF" w:sz="4" w:space="0"/>
            </w:tcBorders>
            <w:shd w:val="clear" w:color="auto" w:fill="CFD5EA"/>
            <w:tcMar>
              <w:top w:w="72" w:type="dxa"/>
              <w:left w:w="144" w:type="dxa"/>
              <w:bottom w:w="72" w:type="dxa"/>
              <w:right w:w="144" w:type="dxa"/>
            </w:tcMar>
            <w:vAlign w:val="top"/>
          </w:tcPr>
          <w:p w14:paraId="397D3B0F">
            <w:pPr>
              <w:pStyle w:val="3"/>
              <w:keepNext w:val="0"/>
              <w:keepLines w:val="0"/>
              <w:widowControl/>
              <w:suppressLineNumbers w:val="0"/>
              <w:kinsoku/>
              <w:wordWrap/>
              <w:overflowPunct/>
              <w:jc w:val="left"/>
              <w:rPr>
                <w:sz w:val="18"/>
                <w:szCs w:val="18"/>
              </w:rPr>
            </w:pPr>
            <w:r>
              <w:rPr>
                <w:rFonts w:hint="eastAsia" w:ascii="微软雅黑" w:hAnsi="微软雅黑" w:eastAsia="微软雅黑" w:cs="微软雅黑"/>
                <w:color w:val="000000"/>
                <w:sz w:val="18"/>
                <w:szCs w:val="18"/>
              </w:rPr>
              <w:t>4/5</w:t>
            </w:r>
          </w:p>
        </w:tc>
        <w:tc>
          <w:tcPr>
            <w:tcW w:w="5830" w:type="dxa"/>
            <w:tcBorders>
              <w:top w:val="single" w:color="FFFFFF" w:sz="4" w:space="0"/>
              <w:left w:val="single" w:color="FFFFFF" w:sz="4" w:space="0"/>
              <w:bottom w:val="single" w:color="FFFFFF" w:sz="12" w:space="0"/>
              <w:right w:val="single" w:color="FFFFFF" w:sz="4" w:space="0"/>
            </w:tcBorders>
            <w:shd w:val="clear" w:color="auto" w:fill="CFD5EA"/>
            <w:tcMar>
              <w:top w:w="72" w:type="dxa"/>
              <w:left w:w="144" w:type="dxa"/>
              <w:bottom w:w="72" w:type="dxa"/>
              <w:right w:w="144" w:type="dxa"/>
            </w:tcMar>
            <w:vAlign w:val="top"/>
          </w:tcPr>
          <w:p w14:paraId="59B61755">
            <w:pPr>
              <w:pStyle w:val="3"/>
              <w:keepNext w:val="0"/>
              <w:keepLines w:val="0"/>
              <w:widowControl/>
              <w:suppressLineNumbers w:val="0"/>
              <w:kinsoku/>
              <w:wordWrap/>
              <w:overflowPunct/>
              <w:jc w:val="left"/>
              <w:rPr>
                <w:sz w:val="18"/>
                <w:szCs w:val="18"/>
              </w:rPr>
            </w:pPr>
          </w:p>
        </w:tc>
      </w:tr>
    </w:tbl>
    <w:p w14:paraId="01E82D0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BF3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 w:type="character" w:customStyle="1" w:styleId="7">
    <w:name w:val="标题 1 Char"/>
    <w:link w:val="2"/>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2025-12-19T05:45:42Z</dcterms:created>
  <dc:creator>19302</dc:creator>
  <cp:lastModifiedBy>谎</cp:lastModifiedBy>
  <dcterms:modified xsi:type="dcterms:W3CDTF">2025-12-19T06:09:32Z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eyJoZGlkIjoiMGQ3Y2IyMDA5N2FiZTRhOTRlMDQzMDkxMzk2ZWFjZmEiLCJ1c2VySWQiOiIxNTA5ODkyMTc4In0=</vt:lpwstr>
  </property>
  <property fmtid="{D5CDD505-2E9C-101B-9397-08002B2CF9AE}" pid="4" name="ICV">
    <vt:lpwstr>468944E3DEA24DB49A0E851B82384A1B_12</vt:lpwstr>
  </property>
</Properties>
</file>