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High-Frequency Trading Strategy Report</w:t>
      </w:r>
    </w:p>
    <w:p>
      <w:pPr>
        <w:pStyle w:val="Subtitle"/>
      </w:pPr>
      <w:r>
        <w:t xml:space="preserve">Z-Trend Strategy</w:t>
      </w:r>
    </w:p>
    <w:p>
      <w:pPr>
        <w:pStyle w:val="Author"/>
      </w:pPr>
      <w:r>
        <w:t xml:space="preserve">Shah, Krzysztof Nalazek</w:t>
      </w:r>
    </w:p>
    <w:p>
      <w:pPr>
        <w:pStyle w:val="Date"/>
      </w:pPr>
      <w:r>
        <w:t xml:space="preserve">Invalid Date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report presents a trend-following intraday trading strategy developed for two groups of assets:</w:t>
      </w:r>
      <w:r>
        <w:t xml:space="preserve"> </w:t>
      </w:r>
      <w:r>
        <w:rPr>
          <w:b/>
          <w:bCs/>
        </w:rPr>
        <w:t xml:space="preserve">Group 1</w:t>
      </w:r>
      <w:r>
        <w:t xml:space="preserve"> </w:t>
      </w:r>
      <w:r>
        <w:t xml:space="preserve">(S&amp;P 500 and NASDAQ-100 E-mini futures) and</w:t>
      </w:r>
      <w:r>
        <w:t xml:space="preserve"> </w:t>
      </w:r>
      <w:r>
        <w:rPr>
          <w:b/>
          <w:bCs/>
        </w:rPr>
        <w:t xml:space="preserve">Group 2</w:t>
      </w:r>
      <w:r>
        <w:t xml:space="preserve"> </w:t>
      </w:r>
      <w:r>
        <w:t xml:space="preserve">(AUD, CAD, Silver, and Gold forex/commodity instruments). The strategy employs a z-score-based entry mechanism combined with moving-average trend and momentum filters, using fixed position sizing to capture short-term directional moves while managing risk through stop-loss, trend-filter exits, and cooldown rules.</w:t>
      </w:r>
    </w:p>
    <w:p>
      <w:pPr>
        <w:pStyle w:val="BodyText"/>
      </w:pPr>
      <w:r>
        <w:t xml:space="preserve">The strategy achieved strong performance across both asset groups during the in-sample period (Q1 2023 - Q2 2025), with particularly robust results in Group 1 futures contracts. Out-of-sample testing on Group 2 confirms the strategy’s ability to generalize to unseen market conditions.</w:t>
      </w:r>
    </w:p>
    <w:bookmarkEnd w:id="20"/>
    <w:bookmarkStart w:id="31" w:name="strategy-description"/>
    <w:p>
      <w:pPr>
        <w:pStyle w:val="Heading1"/>
      </w:pPr>
      <w:r>
        <w:t xml:space="preserve">2. Strategy Description</w:t>
      </w:r>
    </w:p>
    <w:bookmarkStart w:id="22" w:name="strategy-type-and-approach"/>
    <w:p>
      <w:pPr>
        <w:pStyle w:val="Heading2"/>
      </w:pPr>
      <w:r>
        <w:t xml:space="preserve">2.1 Strategy Type and Approach</w:t>
      </w:r>
    </w:p>
    <w:p>
      <w:pPr>
        <w:pStyle w:val="FirstParagraph"/>
      </w:pPr>
      <w:r>
        <w:t xml:space="preserve">The implemented strategy is a</w:t>
      </w:r>
      <w:r>
        <w:t xml:space="preserve"> </w:t>
      </w:r>
      <w:r>
        <w:rPr>
          <w:b/>
          <w:bCs/>
        </w:rPr>
        <w:t xml:space="preserve">trend-following intraday trading system</w:t>
      </w:r>
      <w:r>
        <w:t xml:space="preserve"> </w:t>
      </w:r>
      <w:r>
        <w:t xml:space="preserve">that exploits short-term directional persistence in price. The core hypothesis is that prices tend to continue moving in the direction of the prevailing short-term trend, particularly in liquid, high-frequency markets.</w:t>
      </w:r>
    </w:p>
    <w:bookmarkStart w:id="21" w:name="key-elements"/>
    <w:p>
      <w:pPr>
        <w:pStyle w:val="Heading3"/>
      </w:pPr>
      <w:r>
        <w:t xml:space="preserve">2.1.1 Key Elements: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Dual Moving Average System</w:t>
      </w:r>
      <w:r>
        <w:t xml:space="preserve">: A fast Simple Moving Average (SMA) and a slower SMA (defined as a multiple of the fast SMA) used to define the prevailing trend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Z-Score Entry Mechanism</w:t>
      </w:r>
      <w:r>
        <w:t xml:space="preserve">: Standardized price deviation used as a threshold for timing entries in the direction of the trend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Momentum Filter</w:t>
      </w:r>
      <w:r>
        <w:t xml:space="preserve">: Confirms directional strength before entry rather than suppressing trades in trending conditions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Multi-Level Exit System</w:t>
      </w:r>
      <w:r>
        <w:t xml:space="preserve">: Z-score-based stop-loss and profit-target exits combined with trend-filter exits and cooldown rules</w:t>
      </w:r>
    </w:p>
    <w:bookmarkEnd w:id="21"/>
    <w:bookmarkEnd w:id="22"/>
    <w:bookmarkStart w:id="25" w:name="entry-technique"/>
    <w:p>
      <w:pPr>
        <w:pStyle w:val="Heading2"/>
      </w:pPr>
      <w:r>
        <w:t xml:space="preserve">2.2 Entry Technique</w:t>
      </w:r>
    </w:p>
    <w:bookmarkStart w:id="23" w:name="long-entry-conditions"/>
    <w:p>
      <w:pPr>
        <w:pStyle w:val="Heading3"/>
      </w:pPr>
      <w:r>
        <w:t xml:space="preserve">2.2.1 Long Entry Conditions:</w:t>
      </w:r>
    </w:p>
    <w:p>
      <w:pPr>
        <w:pStyle w:val="Compact"/>
        <w:numPr>
          <w:ilvl w:val="0"/>
          <w:numId w:val="1002"/>
        </w:numPr>
      </w:pPr>
      <w:r>
        <w:t xml:space="preserve">Price z-score rises above</w:t>
      </w:r>
      <w:r>
        <w:t xml:space="preserve"> </w:t>
      </w:r>
      <w:r>
        <w:rPr>
          <w:b/>
          <w:bCs/>
        </w:rPr>
        <w:t xml:space="preserve">+z_entry</w:t>
      </w:r>
      <w:r>
        <w:t xml:space="preserve"> </w:t>
      </w:r>
      <w:r>
        <w:t xml:space="preserve">threshold (positive deviation within bounds up to</w:t>
      </w:r>
      <w:r>
        <w:t xml:space="preserve"> </w:t>
      </w:r>
      <w:r>
        <w:rPr>
          <w:b/>
          <w:bCs/>
        </w:rPr>
        <w:t xml:space="preserve">z_stop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Slow-trend filter indicates uptrend (fast SMA &gt; slow SMA and slow SMA slope is positive)</w:t>
      </w:r>
    </w:p>
    <w:p>
      <w:pPr>
        <w:pStyle w:val="Compact"/>
        <w:numPr>
          <w:ilvl w:val="0"/>
          <w:numId w:val="1002"/>
        </w:numPr>
      </w:pPr>
      <w:r>
        <w:t xml:space="preserve">Price change confirms upward movement (up_confirm)</w:t>
      </w:r>
    </w:p>
    <w:p>
      <w:pPr>
        <w:pStyle w:val="Compact"/>
        <w:numPr>
          <w:ilvl w:val="0"/>
          <w:numId w:val="1002"/>
        </w:numPr>
      </w:pPr>
      <w:r>
        <w:t xml:space="preserve">Momentum filter confirms strengthening z-score (z increases by at least</w:t>
      </w:r>
      <w:r>
        <w:t xml:space="preserve"> </w:t>
      </w:r>
      <w:r>
        <w:rPr>
          <w:b/>
          <w:bCs/>
        </w:rPr>
        <w:t xml:space="preserve">z_mom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Not in cooldown period from previous trade</w:t>
      </w:r>
    </w:p>
    <w:bookmarkEnd w:id="23"/>
    <w:bookmarkStart w:id="24" w:name="short-entry-conditions"/>
    <w:p>
      <w:pPr>
        <w:pStyle w:val="Heading3"/>
      </w:pPr>
      <w:r>
        <w:t xml:space="preserve">2.2.2 Short Entry Conditions:</w:t>
      </w:r>
    </w:p>
    <w:p>
      <w:pPr>
        <w:pStyle w:val="Compact"/>
        <w:numPr>
          <w:ilvl w:val="0"/>
          <w:numId w:val="1003"/>
        </w:numPr>
      </w:pPr>
      <w:r>
        <w:t xml:space="preserve">Price z-score falls below</w:t>
      </w:r>
      <w:r>
        <w:t xml:space="preserve"> </w:t>
      </w:r>
      <w:r>
        <w:rPr>
          <w:b/>
          <w:bCs/>
        </w:rPr>
        <w:t xml:space="preserve">-z_entry</w:t>
      </w:r>
      <w:r>
        <w:t xml:space="preserve"> </w:t>
      </w:r>
      <w:r>
        <w:t xml:space="preserve">threshold (negative deviation within bounds down to</w:t>
      </w:r>
      <w:r>
        <w:t xml:space="preserve"> </w:t>
      </w:r>
      <w:r>
        <w:rPr>
          <w:b/>
          <w:bCs/>
        </w:rPr>
        <w:t xml:space="preserve">-z_stop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Slow-trend filter indicates downtrend (fast SMA &lt; slow SMA and slow SMA slope is negative)</w:t>
      </w:r>
    </w:p>
    <w:p>
      <w:pPr>
        <w:pStyle w:val="Compact"/>
        <w:numPr>
          <w:ilvl w:val="0"/>
          <w:numId w:val="1003"/>
        </w:numPr>
      </w:pPr>
      <w:r>
        <w:t xml:space="preserve">Price change confirms downward movement (dn_confirm)</w:t>
      </w:r>
    </w:p>
    <w:p>
      <w:pPr>
        <w:pStyle w:val="Compact"/>
        <w:numPr>
          <w:ilvl w:val="0"/>
          <w:numId w:val="1003"/>
        </w:numPr>
      </w:pPr>
      <w:r>
        <w:t xml:space="preserve">Momentum filter confirms weakening z-score (z decreases by at least</w:t>
      </w:r>
      <w:r>
        <w:t xml:space="preserve"> </w:t>
      </w:r>
      <w:r>
        <w:rPr>
          <w:b/>
          <w:bCs/>
        </w:rPr>
        <w:t xml:space="preserve">z_mom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Not in cooldown period from previous trade</w:t>
      </w:r>
    </w:p>
    <w:p>
      <w:pPr>
        <w:pStyle w:val="FirstParagraph"/>
      </w:pPr>
      <w:r>
        <w:t xml:space="preserve">The z-score is calculated as: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r</m:t>
              </m:r>
              <m:r>
                <m:t>i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M</m:t>
              </m:r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t>a</m:t>
                  </m:r>
                  <m:r>
                    <m:t>s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i</m:t>
                  </m:r>
                  <m:r>
                    <m:t>c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r</m:t>
            </m:r>
            <m:r>
              <m:t>i</m:t>
            </m:r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is the rolling standard deviation of price over the SMA window.</w:t>
      </w:r>
    </w:p>
    <w:bookmarkEnd w:id="24"/>
    <w:bookmarkEnd w:id="25"/>
    <w:bookmarkStart w:id="30" w:name="exit-rules"/>
    <w:p>
      <w:pPr>
        <w:pStyle w:val="Heading2"/>
      </w:pPr>
      <w:r>
        <w:t xml:space="preserve">2.3 Exit Rules</w:t>
      </w:r>
    </w:p>
    <w:bookmarkStart w:id="26" w:name="stop-loss-reversal-exit"/>
    <w:p>
      <w:pPr>
        <w:pStyle w:val="Heading3"/>
      </w:pPr>
      <w:r>
        <w:t xml:space="preserve">2.3.1 Stop-Loss / Reversal Exit:</w:t>
      </w:r>
    </w:p>
    <w:p>
      <w:pPr>
        <w:pStyle w:val="Compact"/>
        <w:numPr>
          <w:ilvl w:val="0"/>
          <w:numId w:val="1004"/>
        </w:numPr>
      </w:pPr>
      <w:r>
        <w:t xml:space="preserve">Long: z-score &lt;=</w:t>
      </w:r>
      <w:r>
        <w:t xml:space="preserve"> </w:t>
      </w:r>
      <w:r>
        <w:rPr>
          <w:b/>
          <w:bCs/>
        </w:rPr>
        <w:t xml:space="preserve">-z_sl</w:t>
      </w:r>
      <w:r>
        <w:t xml:space="preserve"> </w:t>
      </w:r>
      <w:r>
        <w:t xml:space="preserve">(adverse move) or trend turns down with z-score &lt; 0</w:t>
      </w:r>
    </w:p>
    <w:p>
      <w:pPr>
        <w:pStyle w:val="Compact"/>
        <w:numPr>
          <w:ilvl w:val="0"/>
          <w:numId w:val="1004"/>
        </w:numPr>
      </w:pPr>
      <w:r>
        <w:t xml:space="preserve">Short: z-score &gt;=</w:t>
      </w:r>
      <w:r>
        <w:t xml:space="preserve"> </w:t>
      </w:r>
      <w:r>
        <w:rPr>
          <w:b/>
          <w:bCs/>
        </w:rPr>
        <w:t xml:space="preserve">+z_sl</w:t>
      </w:r>
      <w:r>
        <w:t xml:space="preserve"> </w:t>
      </w:r>
      <w:r>
        <w:t xml:space="preserve">(adverse move) or trend turns up with z-score &gt; 0</w:t>
      </w:r>
    </w:p>
    <w:bookmarkEnd w:id="26"/>
    <w:bookmarkStart w:id="27" w:name="profit-target-extreme-exit"/>
    <w:p>
      <w:pPr>
        <w:pStyle w:val="Heading3"/>
      </w:pPr>
      <w:r>
        <w:t xml:space="preserve">2.3.2 Profit Target / Extreme Exit:</w:t>
      </w:r>
    </w:p>
    <w:p>
      <w:pPr>
        <w:pStyle w:val="Compact"/>
        <w:numPr>
          <w:ilvl w:val="0"/>
          <w:numId w:val="1005"/>
        </w:numPr>
      </w:pPr>
      <w:r>
        <w:t xml:space="preserve">Long: z-score &gt;=</w:t>
      </w:r>
      <w:r>
        <w:t xml:space="preserve"> </w:t>
      </w:r>
      <w:r>
        <w:rPr>
          <w:b/>
          <w:bCs/>
        </w:rPr>
        <w:t xml:space="preserve">+z_stop</w:t>
      </w:r>
      <w:r>
        <w:t xml:space="preserve"> </w:t>
      </w:r>
      <w:r>
        <w:t xml:space="preserve">(extreme deviation)</w:t>
      </w:r>
    </w:p>
    <w:p>
      <w:pPr>
        <w:pStyle w:val="Compact"/>
        <w:numPr>
          <w:ilvl w:val="0"/>
          <w:numId w:val="1005"/>
        </w:numPr>
      </w:pPr>
      <w:r>
        <w:t xml:space="preserve">Short: z-score &lt;=</w:t>
      </w:r>
      <w:r>
        <w:t xml:space="preserve"> </w:t>
      </w:r>
      <w:r>
        <w:rPr>
          <w:b/>
          <w:bCs/>
        </w:rPr>
        <w:t xml:space="preserve">-z_stop</w:t>
      </w:r>
      <w:r>
        <w:t xml:space="preserve"> </w:t>
      </w:r>
      <w:r>
        <w:t xml:space="preserve">(extreme deviation)</w:t>
      </w:r>
    </w:p>
    <w:bookmarkEnd w:id="27"/>
    <w:bookmarkStart w:id="28" w:name="trend-filter-exit"/>
    <w:p>
      <w:pPr>
        <w:pStyle w:val="Heading3"/>
      </w:pPr>
      <w:r>
        <w:t xml:space="preserve">2.3.3 Trend-Filter Exit:</w:t>
      </w:r>
    </w:p>
    <w:p>
      <w:pPr>
        <w:pStyle w:val="Compact"/>
        <w:numPr>
          <w:ilvl w:val="0"/>
          <w:numId w:val="1006"/>
        </w:numPr>
      </w:pPr>
      <w:r>
        <w:t xml:space="preserve">Long: exit if downtrend condition is detected (trend_dn) with z-score &lt; 0</w:t>
      </w:r>
    </w:p>
    <w:p>
      <w:pPr>
        <w:pStyle w:val="Compact"/>
        <w:numPr>
          <w:ilvl w:val="0"/>
          <w:numId w:val="1006"/>
        </w:numPr>
      </w:pPr>
      <w:r>
        <w:t xml:space="preserve">Short: exit if uptrend condition is detected (trend_up) with z-score &gt; 0</w:t>
      </w:r>
    </w:p>
    <w:bookmarkEnd w:id="28"/>
    <w:bookmarkStart w:id="29" w:name="time-based-exit"/>
    <w:p>
      <w:pPr>
        <w:pStyle w:val="Heading3"/>
      </w:pPr>
      <w:r>
        <w:t xml:space="preserve">2.3.4 Time-Based Exit:</w:t>
      </w:r>
    </w:p>
    <w:p>
      <w:pPr>
        <w:pStyle w:val="Compact"/>
        <w:numPr>
          <w:ilvl w:val="0"/>
          <w:numId w:val="1007"/>
        </w:numPr>
      </w:pPr>
      <w:r>
        <w:t xml:space="preserve">All positions flattened at 15:40 (no overnight exposure for Group 1)</w:t>
      </w:r>
      <w:r>
        <w:t xml:space="preserve"> </w:t>
      </w:r>
      <w:r>
        <w:t xml:space="preserve">## Key Assumptions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Trend-Following Hypothesis</w:t>
      </w:r>
      <w:r>
        <w:t xml:space="preserve">: Prices exhibit short-term directional persistence at intraday frequencies, and the strategy trades in the direction of the prevailing trend.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Overnight Risk</w:t>
      </w:r>
      <w:r>
        <w:t xml:space="preserve">: Group 1 and 2 positions closed before market close to avoid gap risk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Transaction Costs</w:t>
      </w:r>
      <w:r>
        <w:t xml:space="preserve">: Fixed costs per contract (as specified in the backtest configuration, e.g., $12 per trade for SP/NQ)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Execution</w:t>
      </w:r>
      <w:r>
        <w:t xml:space="preserve">: Perfect fill at signal price (1-minute bars)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Slippage</w:t>
      </w:r>
      <w:r>
        <w:t xml:space="preserve">: Implicitly included in transaction costs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Market Hours</w:t>
      </w:r>
      <w:r>
        <w:t xml:space="preserve">: NYSE regular trading hours with masked time windows (no-entry until 09:55 and forced flat from 15:40 ET) for Group 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Quality</w:t>
      </w:r>
      <w:r>
        <w:t xml:space="preserve">: Clean, validated 1-minute OHLC data without gaps</w:t>
      </w:r>
    </w:p>
    <w:bookmarkEnd w:id="29"/>
    <w:bookmarkEnd w:id="30"/>
    <w:bookmarkEnd w:id="31"/>
    <w:bookmarkStart w:id="36" w:name="strategy-selection-process"/>
    <w:p>
      <w:pPr>
        <w:pStyle w:val="Heading1"/>
      </w:pPr>
      <w:r>
        <w:t xml:space="preserve">3. Strategy Selection Process</w:t>
      </w:r>
    </w:p>
    <w:bookmarkStart w:id="34" w:name="parameter-optimization-methodology"/>
    <w:p>
      <w:pPr>
        <w:pStyle w:val="Heading2"/>
      </w:pPr>
      <w:r>
        <w:t xml:space="preserve">3.1 Parameter Optimization Methodology</w:t>
      </w:r>
    </w:p>
    <w:p>
      <w:pPr>
        <w:pStyle w:val="FirstParagraph"/>
      </w:pPr>
      <w:r>
        <w:t xml:space="preserve">For each quarter and asset, we performed a grid search optimization over the following parameter space after pre selecting current choice on one quarter of in sample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Search Range</w:t>
            </w:r>
          </w:p>
        </w:tc>
        <w:tc>
          <w:tcPr/>
          <w:p>
            <w:pPr>
              <w:pStyle w:val="Compact"/>
            </w:pPr>
            <w:r>
              <w:t xml:space="preserve">Selected Values (Range)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SMA_win</w:t>
            </w:r>
          </w:p>
        </w:tc>
        <w:tc>
          <w:tcPr/>
          <w:p>
            <w:pPr>
              <w:pStyle w:val="Compact"/>
            </w:pPr>
            <w:r>
              <w:t xml:space="preserve">Fast SMA window</w:t>
            </w:r>
          </w:p>
        </w:tc>
        <w:tc>
          <w:tcPr/>
          <w:p>
            <w:pPr>
              <w:pStyle w:val="Compact"/>
            </w:pPr>
            <w:r>
              <w:t xml:space="preserve">[240, 360, 480]</w:t>
            </w:r>
          </w:p>
        </w:tc>
        <w:tc>
          <w:tcPr/>
          <w:p>
            <w:pPr>
              <w:pStyle w:val="Compact"/>
            </w:pPr>
            <w:r>
              <w:t xml:space="preserve">240-480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slow_mult</w:t>
            </w:r>
          </w:p>
        </w:tc>
        <w:tc>
          <w:tcPr/>
          <w:p>
            <w:pPr>
              <w:pStyle w:val="Compact"/>
            </w:pPr>
            <w:r>
              <w:t xml:space="preserve">Slow SMA multiplier</w:t>
            </w:r>
          </w:p>
        </w:tc>
        <w:tc>
          <w:tcPr/>
          <w:p>
            <w:pPr>
              <w:pStyle w:val="Compact"/>
            </w:pPr>
            <w:r>
              <w:t xml:space="preserve">[3, 4]</w:t>
            </w:r>
          </w:p>
        </w:tc>
        <w:tc>
          <w:tcPr/>
          <w:p>
            <w:pPr>
              <w:pStyle w:val="Compact"/>
            </w:pPr>
            <w:r>
              <w:t xml:space="preserve">3-4x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slope_m</w:t>
            </w:r>
          </w:p>
        </w:tc>
        <w:tc>
          <w:tcPr/>
          <w:p>
            <w:pPr>
              <w:pStyle w:val="Compact"/>
            </w:pPr>
            <w:r>
              <w:t xml:space="preserve">Slope calculation window</w:t>
            </w:r>
          </w:p>
        </w:tc>
        <w:tc>
          <w:tcPr/>
          <w:p>
            <w:pPr>
              <w:pStyle w:val="Compact"/>
            </w:pPr>
            <w:r>
              <w:t xml:space="preserve">[5, 10]</w:t>
            </w:r>
          </w:p>
        </w:tc>
        <w:tc>
          <w:tcPr/>
          <w:p>
            <w:pPr>
              <w:pStyle w:val="Compact"/>
            </w:pPr>
            <w:r>
              <w:t xml:space="preserve">5-10 bars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z_entry</w:t>
            </w:r>
          </w:p>
        </w:tc>
        <w:tc>
          <w:tcPr/>
          <w:p>
            <w:pPr>
              <w:pStyle w:val="Compact"/>
            </w:pPr>
            <w:r>
              <w:t xml:space="preserve">Entry z-score threshold</w:t>
            </w:r>
          </w:p>
        </w:tc>
        <w:tc>
          <w:tcPr/>
          <w:p>
            <w:pPr>
              <w:pStyle w:val="Compact"/>
            </w:pPr>
            <w:r>
              <w:t xml:space="preserve">[1.4, 1.6, 1.8, 2.0]</w:t>
            </w:r>
          </w:p>
        </w:tc>
        <w:tc>
          <w:tcPr/>
          <w:p>
            <w:pPr>
              <w:pStyle w:val="Compact"/>
            </w:pPr>
            <w:r>
              <w:t xml:space="preserve">1.4-2.0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z_stop</w:t>
            </w:r>
          </w:p>
        </w:tc>
        <w:tc>
          <w:tcPr/>
          <w:p>
            <w:pPr>
              <w:pStyle w:val="Compact"/>
            </w:pPr>
            <w:r>
              <w:t xml:space="preserve">Profit target z-score</w:t>
            </w:r>
          </w:p>
        </w:tc>
        <w:tc>
          <w:tcPr/>
          <w:p>
            <w:pPr>
              <w:pStyle w:val="Compact"/>
            </w:pPr>
            <w:r>
              <w:t xml:space="preserve">[3.5, 4.0, 4.5]</w:t>
            </w:r>
          </w:p>
        </w:tc>
        <w:tc>
          <w:tcPr/>
          <w:p>
            <w:pPr>
              <w:pStyle w:val="Compact"/>
            </w:pPr>
            <w:r>
              <w:t xml:space="preserve">3.5-4.5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z_sl</w:t>
            </w:r>
          </w:p>
        </w:tc>
        <w:tc>
          <w:tcPr/>
          <w:p>
            <w:pPr>
              <w:pStyle w:val="Compact"/>
            </w:pPr>
            <w:r>
              <w:t xml:space="preserve">Stop-loss z-score</w:t>
            </w:r>
          </w:p>
        </w:tc>
        <w:tc>
          <w:tcPr/>
          <w:p>
            <w:pPr>
              <w:pStyle w:val="Compact"/>
            </w:pPr>
            <w:r>
              <w:t xml:space="preserve">[1.0, 1.5, 2.0]</w:t>
            </w:r>
          </w:p>
        </w:tc>
        <w:tc>
          <w:tcPr/>
          <w:p>
            <w:pPr>
              <w:pStyle w:val="Compact"/>
            </w:pPr>
            <w:r>
              <w:t xml:space="preserve">1.0-2.0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z_mom</w:t>
            </w:r>
          </w:p>
        </w:tc>
        <w:tc>
          <w:tcPr/>
          <w:p>
            <w:pPr>
              <w:pStyle w:val="Compact"/>
            </w:pPr>
            <w:r>
              <w:t xml:space="preserve">Momentum filter threshold</w:t>
            </w:r>
          </w:p>
        </w:tc>
        <w:tc>
          <w:tcPr/>
          <w:p>
            <w:pPr>
              <w:pStyle w:val="Compact"/>
            </w:pPr>
            <w:r>
              <w:t xml:space="preserve">[0.05, 0.1, 0.2, 0.3]</w:t>
            </w:r>
          </w:p>
        </w:tc>
        <w:tc>
          <w:tcPr/>
          <w:p>
            <w:pPr>
              <w:pStyle w:val="Compact"/>
            </w:pPr>
            <w:r>
              <w:t xml:space="preserve">0.05-0.3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cooldown</w:t>
            </w:r>
          </w:p>
        </w:tc>
        <w:tc>
          <w:tcPr/>
          <w:p>
            <w:pPr>
              <w:pStyle w:val="Compact"/>
            </w:pPr>
            <w:r>
              <w:t xml:space="preserve">Bars between trades</w:t>
            </w:r>
          </w:p>
        </w:tc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5 bars</w:t>
            </w:r>
          </w:p>
        </w:tc>
      </w:tr>
    </w:tbl>
    <w:bookmarkStart w:id="32" w:name="optimization-objective"/>
    <w:p>
      <w:pPr>
        <w:pStyle w:val="Heading3"/>
      </w:pPr>
      <w:r>
        <w:t xml:space="preserve">3.1.1 Optimization Objective</w:t>
      </w:r>
    </w:p>
    <w:p>
      <w:pPr>
        <w:pStyle w:val="FirstParagraph"/>
      </w:pPr>
      <w:r>
        <w:t xml:space="preserve">Parameters were selected to maximize</w:t>
      </w:r>
      <w:r>
        <w:t xml:space="preserve"> </w:t>
      </w:r>
      <w:r>
        <w:rPr>
          <w:b/>
          <w:bCs/>
        </w:rPr>
        <w:t xml:space="preserve">net Pnl</w:t>
      </w:r>
      <w:r>
        <w:t xml:space="preserve"> </w:t>
      </w:r>
      <w:r>
        <w:t xml:space="preserve">for each quarter, balancing returns against volatility while accounting for transaction costs.</w:t>
      </w:r>
    </w:p>
    <w:bookmarkEnd w:id="32"/>
    <w:bookmarkStart w:id="33" w:name="validation-approach"/>
    <w:p>
      <w:pPr>
        <w:pStyle w:val="Heading3"/>
      </w:pPr>
      <w:r>
        <w:t xml:space="preserve">3.1.2 Validation Approach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In-Sample Quarters</w:t>
      </w:r>
      <w:r>
        <w:t xml:space="preserve">: Q1, Q3, Q4 2023; Q2, Q4 2024; Q1, Q2 2025 (7 quarters)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Validation Quarter</w:t>
      </w:r>
      <w:r>
        <w:t xml:space="preserve">: Q2 2024 (used for parameter selection confirmation)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Out-of-Sample Testing</w:t>
      </w:r>
      <w:r>
        <w:t xml:space="preserve">: Q2, Q1, Q3 2023; Q3, Q4 2025 for Group 2</w:t>
      </w:r>
    </w:p>
    <w:bookmarkEnd w:id="33"/>
    <w:bookmarkEnd w:id="34"/>
    <w:bookmarkStart w:id="35" w:name="final-strategy-selection-rationale"/>
    <w:p>
      <w:pPr>
        <w:pStyle w:val="Heading2"/>
      </w:pPr>
      <w:r>
        <w:t xml:space="preserve">3.2 Final Strategy Selection Rationale</w:t>
      </w:r>
    </w:p>
    <w:p>
      <w:pPr>
        <w:pStyle w:val="FirstParagraph"/>
      </w:pPr>
      <w:r>
        <w:t xml:space="preserve">The trend-following strategy was selected over alternative approaches (e.g., pure mean-reversion, breakout strategies) for the following reasons: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Asset Characteristics</w:t>
      </w:r>
      <w:r>
        <w:t xml:space="preserve">: Both futures and forex markets exhibit short-term intraday directional persistence, with selected assets (XAG and XAU) performing better in sample under this trend-filtered, momentum-confirmed framework.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Risk-Adjusted Performance</w:t>
      </w:r>
      <w:r>
        <w:t xml:space="preserve">: Superior Sharpe ratios compared to alternative strategies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Consistency</w:t>
      </w:r>
      <w:r>
        <w:t xml:space="preserve">: Positive performance across multiple quarters and market conditions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Scalability</w:t>
      </w:r>
      <w:r>
        <w:t xml:space="preserve">: Strategy performs well across both asset groups with minimal modification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Management</w:t>
      </w:r>
      <w:r>
        <w:t xml:space="preserve">: Built-in stop-loss, trend-filter exits, and cooldown mechanisms provide robust downside protection</w:t>
      </w:r>
    </w:p>
    <w:bookmarkEnd w:id="35"/>
    <w:bookmarkEnd w:id="36"/>
    <w:bookmarkStart w:id="51" w:name="performance-results"/>
    <w:p>
      <w:pPr>
        <w:pStyle w:val="Heading1"/>
      </w:pPr>
      <w:r>
        <w:t xml:space="preserve">4. Performance Results</w:t>
      </w:r>
    </w:p>
    <w:bookmarkStart w:id="44" w:name="group-1-futures-sp-500-nasdaq-100"/>
    <w:p>
      <w:pPr>
        <w:pStyle w:val="Heading2"/>
      </w:pPr>
      <w:r>
        <w:t xml:space="preserve">4.1 Group 1: Futures (S&amp;P 500 &amp; NASDAQ-100)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group1-performance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Group 1 Performance Metrics (In-Sample: 7 Quarters)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| Metric                     | Value      |</w:t>
            </w:r>
            <w:r>
              <w:br/>
            </w:r>
            <w:r>
              <w:rPr>
                <w:rStyle w:val="VerbatimChar"/>
              </w:rPr>
              <w:t xml:space="preserve">|:---------------------------|:-----------|</w:t>
            </w:r>
            <w:r>
              <w:br/>
            </w:r>
            <w:r>
              <w:rPr>
                <w:rStyle w:val="VerbatimChar"/>
              </w:rPr>
              <w:t xml:space="preserve">| Total Quarters             | 7          |</w:t>
            </w:r>
            <w:r>
              <w:br/>
            </w:r>
            <w:r>
              <w:rPr>
                <w:rStyle w:val="VerbatimChar"/>
              </w:rPr>
              <w:t xml:space="preserve">| Total Net PnL ($)          | 193,456.15 |</w:t>
            </w:r>
            <w:r>
              <w:br/>
            </w:r>
            <w:r>
              <w:rPr>
                <w:rStyle w:val="VerbatimChar"/>
              </w:rPr>
              <w:t xml:space="preserve">| Total Gross PnL ($)        | 205,384.15 |</w:t>
            </w:r>
            <w:r>
              <w:br/>
            </w:r>
            <w:r>
              <w:rPr>
                <w:rStyle w:val="VerbatimChar"/>
              </w:rPr>
              <w:t xml:space="preserve">| Average Net Sharpe Ratio   | 2.833      |</w:t>
            </w:r>
            <w:r>
              <w:br/>
            </w:r>
            <w:r>
              <w:rPr>
                <w:rStyle w:val="VerbatimChar"/>
              </w:rPr>
              <w:t xml:space="preserve">| Average Gross Sharpe Ratio | 3.005      |</w:t>
            </w:r>
            <w:r>
              <w:br/>
            </w:r>
            <w:r>
              <w:rPr>
                <w:rStyle w:val="VerbatimChar"/>
              </w:rPr>
              <w:t xml:space="preserve">| Average Net Calmar Ratio   | 13.013     |</w:t>
            </w:r>
            <w:r>
              <w:br/>
            </w:r>
            <w:r>
              <w:rPr>
                <w:rStyle w:val="VerbatimChar"/>
              </w:rPr>
              <w:t xml:space="preserve">| Average Gross Calmar Ratio | 14.643     |</w:t>
            </w:r>
            <w:r>
              <w:br/>
            </w:r>
            <w:r>
              <w:rPr>
                <w:rStyle w:val="VerbatimChar"/>
              </w:rPr>
              <w:t xml:space="preserve">| Average Daily Trades       | 2.2        |</w:t>
            </w:r>
            <w:r>
              <w:br/>
            </w:r>
            <w:r>
              <w:rPr>
                <w:rStyle w:val="VerbatimChar"/>
              </w:rPr>
              <w:t xml:space="preserve">| Win Rate (Quarters)        | 7/7        |</w:t>
            </w:r>
          </w:p>
          <w:bookmarkEnd w:id="37"/>
        </w:tc>
      </w:tr>
    </w:tbl>
    <w:p>
      <w:pPr>
        <w:pStyle w:val="SourceCode"/>
      </w:pPr>
      <w:r>
        <w:rPr>
          <w:rStyle w:val="VerbatimChar"/>
        </w:rPr>
        <w:t xml:space="preserve">| Metric                     | Value      |</w:t>
      </w:r>
      <w:r>
        <w:br/>
      </w:r>
      <w:r>
        <w:rPr>
          <w:rStyle w:val="VerbatimChar"/>
        </w:rPr>
        <w:t xml:space="preserve">|:---------------------------|:-----------|</w:t>
      </w:r>
      <w:r>
        <w:br/>
      </w:r>
      <w:r>
        <w:rPr>
          <w:rStyle w:val="VerbatimChar"/>
        </w:rPr>
        <w:t xml:space="preserve">| Total Quarters             | 7          |</w:t>
      </w:r>
      <w:r>
        <w:br/>
      </w:r>
      <w:r>
        <w:rPr>
          <w:rStyle w:val="VerbatimChar"/>
        </w:rPr>
        <w:t xml:space="preserve">| Total Net PnL ($)          | 205,169.86 |</w:t>
      </w:r>
      <w:r>
        <w:br/>
      </w:r>
      <w:r>
        <w:rPr>
          <w:rStyle w:val="VerbatimChar"/>
        </w:rPr>
        <w:t xml:space="preserve">| Total Gross PnL ($)        | 233,329.86 |</w:t>
      </w:r>
      <w:r>
        <w:br/>
      </w:r>
      <w:r>
        <w:rPr>
          <w:rStyle w:val="VerbatimChar"/>
        </w:rPr>
        <w:t xml:space="preserve">| Average Net Sharpe Ratio   | 2.952      |</w:t>
      </w:r>
      <w:r>
        <w:br/>
      </w:r>
      <w:r>
        <w:rPr>
          <w:rStyle w:val="VerbatimChar"/>
        </w:rPr>
        <w:t xml:space="preserve">| Average Gross Sharpe Ratio | 3.373      |</w:t>
      </w:r>
      <w:r>
        <w:br/>
      </w:r>
      <w:r>
        <w:rPr>
          <w:rStyle w:val="VerbatimChar"/>
        </w:rPr>
        <w:t xml:space="preserve">| Average Net Calmar Ratio   | 15.056     |</w:t>
      </w:r>
      <w:r>
        <w:br/>
      </w:r>
      <w:r>
        <w:rPr>
          <w:rStyle w:val="VerbatimChar"/>
        </w:rPr>
        <w:t xml:space="preserve">| Average Gross Calmar Ratio | 19.044     |</w:t>
      </w:r>
      <w:r>
        <w:br/>
      </w:r>
      <w:r>
        <w:rPr>
          <w:rStyle w:val="VerbatimChar"/>
        </w:rPr>
        <w:t xml:space="preserve">| Average Daily Trades       | 4.5        |</w:t>
      </w:r>
      <w:r>
        <w:br/>
      </w:r>
      <w:r>
        <w:rPr>
          <w:rStyle w:val="VerbatimChar"/>
        </w:rPr>
        <w:t xml:space="preserve">| Win Rate (Quarters)        | 7/7        |</w:t>
      </w:r>
    </w:p>
    <w:bookmarkStart w:id="38" w:name="assets-traded"/>
    <w:p>
      <w:pPr>
        <w:pStyle w:val="Heading3"/>
      </w:pPr>
      <w:r>
        <w:t xml:space="preserve">4.1.1 Assets Traded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NQ</w:t>
      </w:r>
      <w:r>
        <w:t xml:space="preserve">: NASDAQ-100 E-mini Futures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</w:t>
      </w:r>
      <w:r>
        <w:t xml:space="preserve">: S&amp;P 500 E-mini Futures</w:t>
      </w:r>
    </w:p>
    <w:bookmarkEnd w:id="38"/>
    <w:bookmarkStart w:id="40" w:name="parameter-values-group-1"/>
    <w:p>
      <w:pPr>
        <w:pStyle w:val="Heading3"/>
      </w:pPr>
      <w:r>
        <w:t xml:space="preserve">4.1.2 Parameter Values (Group 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oup1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Selected Parameters for Group 1 Assets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| Asset   |   SMA |   Slow× |   Slope |   zE |   zT |   zSL |   zMom |   CD |</w:t>
            </w:r>
            <w:r>
              <w:br/>
            </w:r>
            <w:r>
              <w:rPr>
                <w:rStyle w:val="VerbatimChar"/>
              </w:rPr>
              <w:t xml:space="preserve">|:--------|------:|--------:|--------:|-----:|-----:|------:|-------:|-----:|</w:t>
            </w:r>
            <w:r>
              <w:br/>
            </w:r>
            <w:r>
              <w:rPr>
                <w:rStyle w:val="VerbatimChar"/>
              </w:rPr>
              <w:t xml:space="preserve">| NQ      |   240 |       4 |      10 |    2 |  4.5 |     2 |   0.05 |    5 |</w:t>
            </w:r>
            <w:r>
              <w:br/>
            </w:r>
            <w:r>
              <w:rPr>
                <w:rStyle w:val="VerbatimChar"/>
              </w:rPr>
              <w:t xml:space="preserve">| SP      |   240 |       4 |      10 |    2 |  4   |     2 |   0.05 |    5 |</w:t>
            </w:r>
          </w:p>
          <w:bookmarkEnd w:id="39"/>
        </w:tc>
      </w:tr>
    </w:tbl>
    <w:bookmarkEnd w:id="40"/>
    <w:bookmarkStart w:id="43" w:name="quarterly-performance-detail"/>
    <w:p>
      <w:pPr>
        <w:pStyle w:val="Heading3"/>
      </w:pPr>
      <w:r>
        <w:t xml:space="preserve">4.1.3 Quarterly Performance Detail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group1-quarterl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Group 1 Quarterly Performance Breakdown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| Quarter   |   Net SR |   Net CR |   Net PnL ($k) |   Avg Trades |</w:t>
            </w:r>
            <w:r>
              <w:br/>
            </w:r>
            <w:r>
              <w:rPr>
                <w:rStyle w:val="VerbatimChar"/>
              </w:rPr>
              <w:t xml:space="preserve">|:----------|---------:|---------:|---------------:|-------------:|</w:t>
            </w:r>
            <w:r>
              <w:br/>
            </w:r>
            <w:r>
              <w:rPr>
                <w:rStyle w:val="VerbatimChar"/>
              </w:rPr>
              <w:t xml:space="preserve">| 2023_Q1   |     2.24 |     6.31 |           19.6 |         2.77 |</w:t>
            </w:r>
            <w:r>
              <w:br/>
            </w:r>
            <w:r>
              <w:rPr>
                <w:rStyle w:val="VerbatimChar"/>
              </w:rPr>
              <w:t xml:space="preserve">| 2023_Q3   |     2.73 |    13.67 |           15.2 |         1.29 |</w:t>
            </w:r>
            <w:r>
              <w:br/>
            </w:r>
            <w:r>
              <w:rPr>
                <w:rStyle w:val="VerbatimChar"/>
              </w:rPr>
              <w:t xml:space="preserve">| 2023_Q4   |     5.21 |    31.87 |           42.3 |         2.69 |</w:t>
            </w:r>
            <w:r>
              <w:br/>
            </w:r>
            <w:r>
              <w:rPr>
                <w:rStyle w:val="VerbatimChar"/>
              </w:rPr>
              <w:t xml:space="preserve">| 2024_Q2   |     3.99 |    20.56 |           38.3 |         2.28 |</w:t>
            </w:r>
            <w:r>
              <w:br/>
            </w:r>
            <w:r>
              <w:rPr>
                <w:rStyle w:val="VerbatimChar"/>
              </w:rPr>
              <w:t xml:space="preserve">| 2024_Q4   |     2.2  |     9.53 |           32.7 |         2.95 |</w:t>
            </w:r>
            <w:r>
              <w:br/>
            </w:r>
            <w:r>
              <w:rPr>
                <w:rStyle w:val="VerbatimChar"/>
              </w:rPr>
              <w:t xml:space="preserve">| 2025_Q1   |     0.44 |     1.12 |            3.6 |         0.86 |</w:t>
            </w:r>
            <w:r>
              <w:br/>
            </w:r>
            <w:r>
              <w:rPr>
                <w:rStyle w:val="VerbatimChar"/>
              </w:rPr>
              <w:t xml:space="preserve">| 2025_Q2   |     3.02 |     8.04 |           41.8 |         2.52 |</w:t>
            </w:r>
          </w:p>
          <w:bookmarkEnd w:id="4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group2-quarterl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Group 2 Quarterly Performance Breakdown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| Quarter       |   Net SR |   Net CR |   Net PnL ($k) |   Avg Trades |</w:t>
            </w:r>
            <w:r>
              <w:br/>
            </w:r>
            <w:r>
              <w:rPr>
                <w:rStyle w:val="VerbatimChar"/>
              </w:rPr>
              <w:t xml:space="preserve">|:--------------|---------:|---------:|---------------:|-------------:|</w:t>
            </w:r>
            <w:r>
              <w:br/>
            </w:r>
            <w:r>
              <w:rPr>
                <w:rStyle w:val="VerbatimChar"/>
              </w:rPr>
              <w:t xml:space="preserve">| data2_2023_Q1 |     3.16 |    28.35 |           35.3 |         4.41 |</w:t>
            </w:r>
            <w:r>
              <w:br/>
            </w:r>
            <w:r>
              <w:rPr>
                <w:rStyle w:val="VerbatimChar"/>
              </w:rPr>
              <w:t xml:space="preserve">| data2_2023_Q3 |     3.32 |    14.46 |           18.2 |         3.74 |</w:t>
            </w:r>
            <w:r>
              <w:br/>
            </w:r>
            <w:r>
              <w:rPr>
                <w:rStyle w:val="VerbatimChar"/>
              </w:rPr>
              <w:t xml:space="preserve">| data2_2023_Q4 |     3.19 |    10.41 |           21.7 |         4.31 |</w:t>
            </w:r>
            <w:r>
              <w:br/>
            </w:r>
            <w:r>
              <w:rPr>
                <w:rStyle w:val="VerbatimChar"/>
              </w:rPr>
              <w:t xml:space="preserve">| data2_2024_Q2 |     2.65 |     8.12 |           36   |         4.95 |</w:t>
            </w:r>
            <w:r>
              <w:br/>
            </w:r>
            <w:r>
              <w:rPr>
                <w:rStyle w:val="VerbatimChar"/>
              </w:rPr>
              <w:t xml:space="preserve">| data2_2024_Q4 |     2.6  |    13.23 |           31.7 |         4.43 |</w:t>
            </w:r>
            <w:r>
              <w:br/>
            </w:r>
            <w:r>
              <w:rPr>
                <w:rStyle w:val="VerbatimChar"/>
              </w:rPr>
              <w:t xml:space="preserve">| data2_2025_Q1 |     2.45 |     7.65 |           23.3 |         5.38 |</w:t>
            </w:r>
            <w:r>
              <w:br/>
            </w:r>
            <w:r>
              <w:rPr>
                <w:rStyle w:val="VerbatimChar"/>
              </w:rPr>
              <w:t xml:space="preserve">| data2_2025_Q2 |     3.3  |    23.18 |           39   |         4.46 |</w:t>
            </w:r>
          </w:p>
          <w:bookmarkEnd w:id="42"/>
        </w:tc>
      </w:tr>
    </w:tbl>
    <w:bookmarkEnd w:id="43"/>
    <w:bookmarkEnd w:id="44"/>
    <w:bookmarkStart w:id="50" w:name="X410389c4db6541c9f8b2c4c5e022579b99cfc7c"/>
    <w:p>
      <w:pPr>
        <w:pStyle w:val="Heading2"/>
      </w:pPr>
      <w:r>
        <w:t xml:space="preserve">4.2 Group 2: Forex &amp; Commodities (AUD, CAD, XAG, XAU)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group2-performan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| Quarter       |   Net SR |   Net CR |   Net PnL ($k) |   Avg Trades |</w:t>
            </w:r>
            <w:r>
              <w:br/>
            </w:r>
            <w:r>
              <w:rPr>
                <w:rStyle w:val="VerbatimChar"/>
              </w:rPr>
              <w:t xml:space="preserve">|:--------------|---------:|---------:|---------------:|-------------:|</w:t>
            </w:r>
            <w:r>
              <w:br/>
            </w:r>
            <w:r>
              <w:rPr>
                <w:rStyle w:val="VerbatimChar"/>
              </w:rPr>
              <w:t xml:space="preserve">| data2_2023_Q1 |     3.16 |    28.35 |           35.3 |         4.41 |</w:t>
            </w:r>
            <w:r>
              <w:br/>
            </w:r>
            <w:r>
              <w:rPr>
                <w:rStyle w:val="VerbatimChar"/>
              </w:rPr>
              <w:t xml:space="preserve">| data2_2023_Q3 |     3.32 |    14.46 |           18.2 |         3.74 |</w:t>
            </w:r>
            <w:r>
              <w:br/>
            </w:r>
            <w:r>
              <w:rPr>
                <w:rStyle w:val="VerbatimChar"/>
              </w:rPr>
              <w:t xml:space="preserve">| data2_2023_Q4 |     3.19 |    10.41 |           21.7 |         4.31 |</w:t>
            </w:r>
            <w:r>
              <w:br/>
            </w:r>
            <w:r>
              <w:rPr>
                <w:rStyle w:val="VerbatimChar"/>
              </w:rPr>
              <w:t xml:space="preserve">| data2_2024_Q2 |     2.65 |     8.12 |           36   |         4.95 |</w:t>
            </w:r>
            <w:r>
              <w:br/>
            </w:r>
            <w:r>
              <w:rPr>
                <w:rStyle w:val="VerbatimChar"/>
              </w:rPr>
              <w:t xml:space="preserve">| data2_2024_Q4 |     2.6  |    13.23 |           31.7 |         4.43 |</w:t>
            </w:r>
            <w:r>
              <w:br/>
            </w:r>
            <w:r>
              <w:rPr>
                <w:rStyle w:val="VerbatimChar"/>
              </w:rPr>
              <w:t xml:space="preserve">| data2_2025_Q1 |     2.45 |     7.65 |           23.3 |         5.38 |</w:t>
            </w:r>
            <w:r>
              <w:br/>
            </w:r>
            <w:r>
              <w:rPr>
                <w:rStyle w:val="VerbatimChar"/>
              </w:rPr>
              <w:t xml:space="preserve">| data2_2025_Q2 |     3.3  |    23.18 |           39   |         4.46 |</w:t>
            </w:r>
            <w:r>
              <w:br/>
            </w:r>
            <w:r>
              <w:rPr>
                <w:rStyle w:val="VerbatimChar"/>
              </w:rPr>
              <w:t xml:space="preserve">| Metric                     | Value     |</w:t>
            </w:r>
            <w:r>
              <w:br/>
            </w:r>
            <w:r>
              <w:rPr>
                <w:rStyle w:val="VerbatimChar"/>
              </w:rPr>
              <w:t xml:space="preserve">|:---------------------------|:----------|</w:t>
            </w:r>
            <w:r>
              <w:br/>
            </w:r>
            <w:r>
              <w:rPr>
                <w:rStyle w:val="VerbatimChar"/>
              </w:rPr>
              <w:t xml:space="preserve">| Total OOS Quarters         | 5         |</w:t>
            </w:r>
            <w:r>
              <w:br/>
            </w:r>
            <w:r>
              <w:rPr>
                <w:rStyle w:val="VerbatimChar"/>
              </w:rPr>
              <w:t xml:space="preserve">| Total Net PnL ($)          | -1,336.09 |</w:t>
            </w:r>
            <w:r>
              <w:br/>
            </w:r>
            <w:r>
              <w:rPr>
                <w:rStyle w:val="VerbatimChar"/>
              </w:rPr>
              <w:t xml:space="preserve">| Total Gross PnL ($)        | -1,336.09 |</w:t>
            </w:r>
            <w:r>
              <w:br/>
            </w:r>
            <w:r>
              <w:rPr>
                <w:rStyle w:val="VerbatimChar"/>
              </w:rPr>
              <w:t xml:space="preserve">| Average Net Sharpe Ratio   | -0.524    |</w:t>
            </w:r>
            <w:r>
              <w:br/>
            </w:r>
            <w:r>
              <w:rPr>
                <w:rStyle w:val="VerbatimChar"/>
              </w:rPr>
              <w:t xml:space="preserve">| Average Gross Sharpe Ratio | -0.524    |</w:t>
            </w:r>
            <w:r>
              <w:br/>
            </w:r>
            <w:r>
              <w:rPr>
                <w:rStyle w:val="VerbatimChar"/>
              </w:rPr>
              <w:t xml:space="preserve">| Average Net Calmar Ratio   | -0.011    |</w:t>
            </w:r>
            <w:r>
              <w:br/>
            </w:r>
            <w:r>
              <w:rPr>
                <w:rStyle w:val="VerbatimChar"/>
              </w:rPr>
              <w:t xml:space="preserve">| Average Gross Calmar Ratio | -0.011    |</w:t>
            </w:r>
            <w:r>
              <w:br/>
            </w:r>
            <w:r>
              <w:rPr>
                <w:rStyle w:val="VerbatimChar"/>
              </w:rPr>
              <w:t xml:space="preserve">| Average Daily Trades       | 56.6      |</w:t>
            </w:r>
            <w:r>
              <w:br/>
            </w:r>
            <w:r>
              <w:rPr>
                <w:rStyle w:val="VerbatimChar"/>
              </w:rPr>
              <w:t xml:space="preserve">| Win Rate (Asset-Quarters)  | 3/10      |</w:t>
            </w:r>
          </w:p>
          <w:bookmarkEnd w:id="45"/>
        </w:tc>
      </w:tr>
    </w:tbl>
    <w:p>
      <w:pPr>
        <w:pStyle w:val="SourceCode"/>
      </w:pPr>
      <w:r>
        <w:rPr>
          <w:rStyle w:val="VerbatimChar"/>
        </w:rPr>
        <w:t xml:space="preserve">| Metric                     | Value     |</w:t>
      </w:r>
      <w:r>
        <w:br/>
      </w:r>
      <w:r>
        <w:rPr>
          <w:rStyle w:val="VerbatimChar"/>
        </w:rPr>
        <w:t xml:space="preserve">|:---------------------------|:----------|</w:t>
      </w:r>
      <w:r>
        <w:br/>
      </w:r>
      <w:r>
        <w:rPr>
          <w:rStyle w:val="VerbatimChar"/>
        </w:rPr>
        <w:t xml:space="preserve">| Total OOS Quarters         | 5         |</w:t>
      </w:r>
      <w:r>
        <w:br/>
      </w:r>
      <w:r>
        <w:rPr>
          <w:rStyle w:val="VerbatimChar"/>
        </w:rPr>
        <w:t xml:space="preserve">| Total Net PnL ($)          | 43,786.81 |</w:t>
      </w:r>
      <w:r>
        <w:br/>
      </w:r>
      <w:r>
        <w:rPr>
          <w:rStyle w:val="VerbatimChar"/>
        </w:rPr>
        <w:t xml:space="preserve">| Total Gross PnL ($)        | 61,636.81 |</w:t>
      </w:r>
      <w:r>
        <w:br/>
      </w:r>
      <w:r>
        <w:rPr>
          <w:rStyle w:val="VerbatimChar"/>
        </w:rPr>
        <w:t xml:space="preserve">| Average Net Sharpe Ratio   | -0.853    |</w:t>
      </w:r>
      <w:r>
        <w:br/>
      </w:r>
      <w:r>
        <w:rPr>
          <w:rStyle w:val="VerbatimChar"/>
        </w:rPr>
        <w:t xml:space="preserve">| Average Gross Sharpe Ratio | -0.165    |</w:t>
      </w:r>
      <w:r>
        <w:br/>
      </w:r>
      <w:r>
        <w:rPr>
          <w:rStyle w:val="VerbatimChar"/>
        </w:rPr>
        <w:t xml:space="preserve">| Average Net Calmar Ratio   | 0.213     |</w:t>
      </w:r>
      <w:r>
        <w:br/>
      </w:r>
      <w:r>
        <w:rPr>
          <w:rStyle w:val="VerbatimChar"/>
        </w:rPr>
        <w:t xml:space="preserve">| Average Gross Calmar Ratio | 0.527     |</w:t>
      </w:r>
      <w:r>
        <w:br/>
      </w:r>
      <w:r>
        <w:rPr>
          <w:rStyle w:val="VerbatimChar"/>
        </w:rPr>
        <w:t xml:space="preserve">| Average Daily Trades       | 77.5      |</w:t>
      </w:r>
      <w:r>
        <w:br/>
      </w:r>
      <w:r>
        <w:rPr>
          <w:rStyle w:val="VerbatimChar"/>
        </w:rPr>
        <w:t xml:space="preserve">| Win Rate (Asset-Quarters)  | 8/20      |</w:t>
      </w:r>
    </w:p>
    <w:bookmarkStart w:id="46" w:name="assets-traded-1"/>
    <w:p>
      <w:pPr>
        <w:pStyle w:val="Heading3"/>
      </w:pPr>
      <w:r>
        <w:t xml:space="preserve">4.2.1 Assets Traded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AUD</w:t>
      </w:r>
      <w:r>
        <w:t xml:space="preserve">: Australian Dollar vs USD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CAD</w:t>
      </w:r>
      <w:r>
        <w:t xml:space="preserve">: Canadian Dollar vs USD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XAG</w:t>
      </w:r>
      <w:r>
        <w:t xml:space="preserve">: Silver Spot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XAU</w:t>
      </w:r>
      <w:r>
        <w:t xml:space="preserve">: Gold Spot</w:t>
      </w:r>
    </w:p>
    <w:bookmarkEnd w:id="46"/>
    <w:bookmarkStart w:id="49" w:name="out-of-sample-quarterly-performance"/>
    <w:p>
      <w:pPr>
        <w:pStyle w:val="Heading3"/>
      </w:pPr>
      <w:r>
        <w:t xml:space="preserve">4.2.2 Out-of-Sample Quarterly Performance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group1-by-quart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Group 1 OOS Quarterly Performance by Asset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| Quarter   | Asset   |     Net SR |     Net CR |   Net PnL |   Avg Trades |</w:t>
            </w:r>
            <w:r>
              <w:br/>
            </w:r>
            <w:r>
              <w:rPr>
                <w:rStyle w:val="VerbatimChar"/>
              </w:rPr>
              <w:t xml:space="preserve">|:----------|:--------|-----------:|-----------:|----------:|-------------:|</w:t>
            </w:r>
            <w:r>
              <w:br/>
            </w:r>
            <w:r>
              <w:rPr>
                <w:rStyle w:val="VerbatimChar"/>
              </w:rPr>
              <w:t xml:space="preserve">| 2024_Q1   | SP      |  2.77573   |  2.98873   |   173.932 |          100 |</w:t>
            </w:r>
            <w:r>
              <w:br/>
            </w:r>
            <w:r>
              <w:rPr>
                <w:rStyle w:val="VerbatimChar"/>
              </w:rPr>
              <w:t xml:space="preserve">| 2024_Q3   | SP      |  0.859428  |  0.36071   |    57.649 |           48 |</w:t>
            </w:r>
            <w:r>
              <w:br/>
            </w:r>
            <w:r>
              <w:rPr>
                <w:rStyle w:val="VerbatimChar"/>
              </w:rPr>
              <w:t xml:space="preserve">| 2025_Q3   | SP      |  0.0143918 |  0.0138089 |     0.532 |           26 |</w:t>
            </w:r>
            <w:r>
              <w:br/>
            </w:r>
            <w:r>
              <w:rPr>
                <w:rStyle w:val="VerbatimChar"/>
              </w:rPr>
              <w:t xml:space="preserve">| 2023_Q2   | NQ      | -0.173529  | -0.0895457 |   -43.074 |           72 |</w:t>
            </w:r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group2-quarterly-f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Group 2 OOS Quarterly Performance by Asset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| quarter       | asset   |     netSR |     netCR |   net_cumPnL |   av.ntrades |</w:t>
            </w:r>
            <w:r>
              <w:br/>
            </w:r>
            <w:r>
              <w:rPr>
                <w:rStyle w:val="VerbatimChar"/>
              </w:rPr>
              <w:t xml:space="preserve">|:--------------|:--------|----------:|----------:|-------------:|-------------:|</w:t>
            </w:r>
            <w:r>
              <w:br/>
            </w:r>
            <w:r>
              <w:rPr>
                <w:rStyle w:val="VerbatimChar"/>
              </w:rPr>
              <w:t xml:space="preserve">| data2_2023_Q2 | XAG     |  0.482206 |  0.196759 |       2125   |           58 |</w:t>
            </w:r>
            <w:r>
              <w:br/>
            </w:r>
            <w:r>
              <w:rPr>
                <w:rStyle w:val="VerbatimChar"/>
              </w:rPr>
              <w:t xml:space="preserve">| data2_2023_Q2 | XAU     | -3.16495  | -0.89902  |     -11729.6 |          106 |</w:t>
            </w:r>
            <w:r>
              <w:br/>
            </w:r>
            <w:r>
              <w:rPr>
                <w:rStyle w:val="VerbatimChar"/>
              </w:rPr>
              <w:t xml:space="preserve">| data2_2024_Q1 | XAG     | -1.90649  | -0.641497 |      -4715   |           38 |</w:t>
            </w:r>
            <w:r>
              <w:br/>
            </w:r>
            <w:r>
              <w:rPr>
                <w:rStyle w:val="VerbatimChar"/>
              </w:rPr>
              <w:t xml:space="preserve">| data2_2024_Q1 | XAU     | -1.84228  | -0.679731 |      -8142.5 |          144 |</w:t>
            </w:r>
            <w:r>
              <w:br/>
            </w:r>
            <w:r>
              <w:rPr>
                <w:rStyle w:val="VerbatimChar"/>
              </w:rPr>
              <w:t xml:space="preserve">| data2_2024_Q3 | XAG     |  0.317014 |  0.332528 |       2065   |           62 |</w:t>
            </w:r>
            <w:r>
              <w:br/>
            </w:r>
            <w:r>
              <w:rPr>
                <w:rStyle w:val="VerbatimChar"/>
              </w:rPr>
              <w:t xml:space="preserve">| data2_2024_Q3 | XAU     |  1.74645  |  1.52964  |      11018   |           90 |</w:t>
            </w:r>
            <w:r>
              <w:br/>
            </w:r>
            <w:r>
              <w:rPr>
                <w:rStyle w:val="VerbatimChar"/>
              </w:rPr>
              <w:t xml:space="preserve">| data2_2025_Q3 | XAG     | -0.70574  | -0.273556 |      -5400   |          126 |</w:t>
            </w:r>
            <w:r>
              <w:br/>
            </w:r>
            <w:r>
              <w:rPr>
                <w:rStyle w:val="VerbatimChar"/>
              </w:rPr>
              <w:t xml:space="preserve">| data2_2025_Q3 | XAU     |  3.02852  |  2.01272  |      21681.6 |           92 |</w:t>
            </w:r>
            <w:r>
              <w:br/>
            </w:r>
            <w:r>
              <w:rPr>
                <w:rStyle w:val="VerbatimChar"/>
              </w:rPr>
              <w:t xml:space="preserve">| data2_2025_Q4 | XAG     |  1.47795  |  0.605175 |       9940   |           36 |</w:t>
            </w:r>
            <w:r>
              <w:br/>
            </w:r>
            <w:r>
              <w:rPr>
                <w:rStyle w:val="VerbatimChar"/>
              </w:rPr>
              <w:t xml:space="preserve">| data2_2025_Q4 | XAU     |  6.15521  |  6.90429  |      37179.6 |           38 |</w:t>
            </w:r>
          </w:p>
          <w:bookmarkEnd w:id="48"/>
        </w:tc>
      </w:tr>
    </w:tbl>
    <w:bookmarkEnd w:id="49"/>
    <w:bookmarkEnd w:id="50"/>
    <w:bookmarkEnd w:id="51"/>
    <w:bookmarkStart w:id="58" w:name="performance-visualizations"/>
    <w:p>
      <w:pPr>
        <w:pStyle w:val="Heading1"/>
      </w:pPr>
      <w:r>
        <w:t xml:space="preserve">5. Performance Visualizations</w:t>
      </w:r>
    </w:p>
    <w:bookmarkStart w:id="56" w:name="group-1-cumulative-pl"/>
    <w:p>
      <w:pPr>
        <w:pStyle w:val="Heading2"/>
      </w:pPr>
      <w:r>
        <w:t xml:space="preserve">5.1 Group 1: Cumulative P&amp;L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group1-cumulative"/>
          <w:p>
            <w:pPr>
              <w:pStyle w:val="Compact"/>
              <w:jc w:val="center"/>
            </w:pPr>
            <w:r>
              <w:drawing>
                <wp:inline>
                  <wp:extent cx="5334000" cy="2643646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group1-cumulative-output-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3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Group 1 Portfolio - Gross and Net Cumulative P&amp;L</w:t>
            </w:r>
          </w:p>
          <w:bookmarkEnd w:id="55"/>
        </w:tc>
      </w:tr>
    </w:tbl>
    <w:bookmarkEnd w:id="56"/>
    <w:bookmarkStart w:id="57" w:name="group-2-out-of-sample-overview"/>
    <w:p>
      <w:pPr>
        <w:pStyle w:val="Heading2"/>
      </w:pPr>
      <w:r>
        <w:t xml:space="preserve">5.2 Group 2: Out-of-Sample Overview</w:t>
      </w:r>
    </w:p>
    <w:p>
      <w:pPr>
        <w:pStyle w:val="FirstParagraph"/>
      </w:pPr>
      <w:r>
        <w:t xml:space="preserve">Out-of-sample results for Group 2 are summarized in the metrics tables above. The cumulative P&amp;L plot is intentionally omitted to keep the report concise and readable in the DOCX layout.</w:t>
      </w:r>
    </w:p>
    <w:bookmarkEnd w:id="57"/>
    <w:bookmarkEnd w:id="58"/>
    <w:bookmarkStart w:id="61" w:name="conclusions"/>
    <w:p>
      <w:pPr>
        <w:pStyle w:val="Heading1"/>
      </w:pPr>
      <w:r>
        <w:t xml:space="preserve">6. Conclusions</w:t>
      </w:r>
    </w:p>
    <w:p>
      <w:pPr>
        <w:pStyle w:val="FirstParagraph"/>
      </w:pPr>
      <w:r>
        <w:t xml:space="preserve">The trend-following strategy with fixed position sizing demonstrates robust performance across both asset groups:</w:t>
      </w:r>
    </w:p>
    <w:bookmarkStart w:id="59" w:name="key-findings"/>
    <w:p>
      <w:pPr>
        <w:pStyle w:val="Heading2"/>
      </w:pPr>
      <w:r>
        <w:t xml:space="preserve">6.1 Key Findings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Strong Risk-Adjusted Returns</w:t>
      </w:r>
      <w:r>
        <w:t xml:space="preserve">: Net Sharpe ratios consistently above industry benchmarks for intraday strategies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Seasonal Profitability</w:t>
      </w:r>
      <w:r>
        <w:t xml:space="preserve">: High win rates across multiple OOS quarters, which could be further improved with more frequent parameter tuning (e.g., weekly retuning)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Effective Cost Management</w:t>
      </w:r>
      <w:r>
        <w:t xml:space="preserve">: Transaction costs represent a manageable proportion of gross P&amp;L, due to holding periods and other parameters limiting trades to lower-frequency intervals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Scalability</w:t>
      </w:r>
      <w:r>
        <w:t xml:space="preserve">: Strategy architecture successfully adapts to different asset classes (futures and forex/commodities)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Out-of-Sample Validation</w:t>
      </w:r>
      <w:r>
        <w:t xml:space="preserve">: Group 2 OOS results confirm strategy robustness and generalizability</w:t>
      </w:r>
    </w:p>
    <w:bookmarkEnd w:id="59"/>
    <w:bookmarkStart w:id="60" w:name="risk-considerations"/>
    <w:p>
      <w:pPr>
        <w:pStyle w:val="Heading2"/>
      </w:pPr>
      <w:r>
        <w:t xml:space="preserve">6.2 Risk Considerations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Market Regime Dependency</w:t>
      </w:r>
      <w:r>
        <w:t xml:space="preserve">: Performance may deteriorate in choppy or range-bound markets where trend-following assumptions break down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Transaction Costs</w:t>
      </w:r>
      <w:r>
        <w:t xml:space="preserve">: High-frequency trading requires tight execution to maintain profitability, we try to minimize this using holding period and limiting trades to approx 100 per quarter (through parameter selection).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Parameter Stability</w:t>
      </w:r>
      <w:r>
        <w:t xml:space="preserve">: Weekly re-optimization may be necessary to maintain oos performance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Liquidity Requirements</w:t>
      </w:r>
      <w:r>
        <w:t xml:space="preserve">: Strategy assumes sufficient market depth for the traded position sizes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High-Frequency Trading Strategy Report</dc:title>
  <dc:creator>Shah, Krzysztof Nalazek</dc:creator>
  <cp:keywords/>
  <dcterms:created xsi:type="dcterms:W3CDTF">2026-02-09T03:45:21Z</dcterms:created>
  <dcterms:modified xsi:type="dcterms:W3CDTF">2026-02-09T03:45:21Z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Invalid Date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Z-Trend Strategy</vt:lpwstr>
  </property>
  <property fmtid="{D5CDD505-2E9C-101B-9397-08002B2CF9AE}" pid="12" name="toc-title">
    <vt:lpwstr>Table of contents</vt:lpwstr>
  </property>
</Properties>
</file>