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CJK SC" w:cs="Noto Sans CJK SC" w:eastAsia="Noto Sans CJK SC" w:hAnsi="Noto Sans CJK SC"/>
          <w:b/>
          <w:bCs/>
          <w:sz w:val="32"/>
          <w:szCs w:val="32"/>
        </w:rPr>
        <w:t xml:space="preserve">β-VAE on MNIST —— 第二轮实验报告（β 消融实验）</w:t>
      </w:r>
    </w:p>
    <w:p>
      <w:pPr>
        <w:pStyle w:val="Heading1"/>
        <w:spacing w:after="60" w:before="140"/>
      </w:pPr>
      <w:r>
        <w:rPr>
          <w:rFonts w:ascii="Noto Sans CJK SC" w:cs="Noto Sans CJK SC" w:eastAsia="Noto Sans CJK SC" w:hAnsi="Noto Sans CJK SC"/>
          <w:b/>
          <w:bCs/>
          <w:sz w:val="26"/>
          <w:szCs w:val="26"/>
        </w:rPr>
        <w:t xml:space="preserve">一、实验设置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沿用第一轮的模型架构与基础超参数：latent_dim=20，hidden_dim=400，batch_size=128，学习率 1e-3，Adam 优化器。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引入 β 权重：loss = recon_loss + β · kl_loss，对 β ∈ {0.5, 1.0, 2.0, 4.0} 分别独立训练。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固定随机种子 seed=42（对所有 β 相同），保证四组实验除 β 外，模型初始化、batch 顺序等其余条件完全一致，效果差异可干净地归因于 β。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每组训练 5 个 epoch（短训练，用于快速定性/定量比较），每个 epoch 保存 reconstruction grid、random sample grid、latent interpolation grid、latent traversal grid（逐维度扫描），并记录 loss 到 CSV。</w:t>
      </w:r>
    </w:p>
    <w:p>
      <w:pPr>
        <w:pStyle w:val="Heading1"/>
        <w:spacing w:after="60" w:before="140"/>
      </w:pPr>
      <w:r>
        <w:rPr>
          <w:rFonts w:ascii="Noto Sans CJK SC" w:cs="Noto Sans CJK SC" w:eastAsia="Noto Sans CJK SC" w:hAnsi="Noto Sans CJK SC"/>
          <w:b/>
          <w:bCs/>
          <w:sz w:val="26"/>
          <w:szCs w:val="26"/>
        </w:rPr>
        <w:t xml:space="preserve">二、结果与分析</w:t>
      </w:r>
    </w:p>
    <w:p>
      <w:pPr>
        <w:pStyle w:val="Heading2"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1. Recon / KL 随 β 的变化（epoch 5）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3302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recon_loss</w:t>
            </w:r>
          </w:p>
        </w:tc>
        <w:tc>
          <w:tcPr>
            <w:tcW w:type="dxa" w:w="3302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kl_loss（未加权）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78.4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33.4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84.7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24.8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97.7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16.1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118.8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8.9</w:t>
            </w:r>
          </w:p>
        </w:tc>
      </w:tr>
    </w:tbl>
    <w:p>
      <w:pPr>
        <w:spacing w:after="6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/>
      </w:r>
    </w:p>
    <w:p>
      <w:pPr>
        <w:spacing w:after="6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recon_loss 随 β 单调上升（78.4 → 118.8，β=4 相对 β=0.5 上升约 52%），与理论预期一致：β 越大，KL 惩罚越强，模型可用于编码图像细节的信息预算越紧，重建质量随之下降。原始（未加权）kl_loss 随 β 单调下降（33.4 → 8.9），说明模型不是被动地在 loss 里“分摊”更大的 β 权重，而是主动通过压缩隐空间的实际使用来降低原始 KL 值本身。</w:t>
      </w:r>
    </w:p>
    <w:p>
      <w:pPr>
        <w:pStyle w:val="Heading2"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2. 隐空间维度坍缩分析</w:t>
      </w:r>
    </w:p>
    <w:p>
      <w:pPr>
        <w:spacing w:after="6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基于 latent traversal grid 做量化分析：对每个维度，计算其 7 个扫描步两两之间的平均像素差异，低于阈值即判定为“坍缩”（对该维度不敏感）。结果：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3302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坍缩维度数 / 总数</w:t>
            </w:r>
          </w:p>
        </w:tc>
        <w:tc>
          <w:tcPr>
            <w:tcW w:type="dxa" w:w="3302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可用自由度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0 / 20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0 / 20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 / 20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 / 20</w:t>
            </w:r>
          </w:p>
        </w:tc>
        <w:tc>
          <w:tcPr>
            <w:tcW w:type="dxa" w:w="3302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</w:tbl>
    <w:p>
      <w:pPr>
        <w:spacing w:after="6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/>
      </w:r>
    </w:p>
    <w:p>
      <w:pPr>
        <w:spacing w:after="6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坍缩现象与 kl_loss 下降趋势相互印证：坍缩维度的后验近似等于先验，贡献的 KL 接近 0，直接拉低整体 KL 值。β=4 时近一半维度坍缩，可用隐空间自由度骤降至 11，代价是重建质量明显受损；β≤1 时尚未出现明显压缩。</w:t>
      </w:r>
    </w:p>
    <w:p>
      <w:pPr>
        <w:pStyle w:val="Heading1"/>
        <w:spacing w:after="60" w:before="140"/>
      </w:pPr>
      <w:r>
        <w:rPr>
          <w:rFonts w:ascii="Noto Sans CJK SC" w:cs="Noto Sans CJK SC" w:eastAsia="Noto Sans CJK SC" w:hAnsi="Noto Sans CJK SC"/>
          <w:b/>
          <w:bCs/>
          <w:sz w:val="26"/>
          <w:szCs w:val="26"/>
        </w:rPr>
        <w:t xml:space="preserve">三、结论</w:t>
      </w:r>
    </w:p>
    <w:p>
      <w:pPr>
        <w:spacing w:after="6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综合重建质量与维度坍缩程度，β=2 左右是本次实验范围内较合理的候选区间：压缩已经开始发生（1 个维度坍缩），但尚未大面积损失隐空间容量，重建质量也保持在可接受水平。后续将以 β≈2 为重点做更细致的观察。</w:t>
      </w:r>
    </w:p>
    <w:p>
      <w:pPr>
        <w:pStyle w:val="Heading1"/>
        <w:spacing w:after="60" w:before="140"/>
      </w:pPr>
      <w:r>
        <w:rPr>
          <w:rFonts w:ascii="Noto Sans CJK SC" w:cs="Noto Sans CJK SC" w:eastAsia="Noto Sans CJK SC" w:hAnsi="Noto Sans CJK SC"/>
          <w:b/>
          <w:bCs/>
          <w:sz w:val="26"/>
          <w:szCs w:val="26"/>
        </w:rPr>
        <w:t xml:space="preserve">四、局限性与后续工作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“维度坍缩数量少”只反映压缩/正则化程度，不直接等价于“良好的 disentanglement”；仍需对未坍缩的活跃维度做定性检验（逐维度观察扫描时是否只改变单一语义属性，如笔画粗细、倾斜角度等），这部分尚未系统开展，是下一步的重点。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本轮为 5 个 epoch 的短训练，用于快速对比趋势，结论具有初步性，尚不能代表模型充分收敛后的最终表现。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后续可尝试 KL warm-up / 退火、free bits 等技术，在保留 β 带来的解耦压力的同时，缓解其对重建质量的负面影响。</w:t>
      </w:r>
    </w:p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2026-07-03T04:09:34.198Z</dcterms:created>
  <dcterms:modified xsi:type="dcterms:W3CDTF">2026-07-03T04:09:34.199Z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