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F5496"/>
          <w:sz w:val="22"/>
          <w:szCs w:val="22"/>
        </w:rPr>
        <w:t>CHULITO  ·  PROYECTO DE SOFTWARE</w:t>
      </w:r>
    </w:p>
    <w:p>
      <w:pPr>
        <w:spacing w:after="160" w:before="120"/>
      </w:pPr>
      <w:r>
        <w:rPr>
          <w:rFonts w:ascii="Arial" w:cs="Arial" w:eastAsia="Arial" w:hAnsi="Arial"/>
          <w:b/>
          <w:bCs/>
          <w:color w:val="1F3864"/>
          <w:sz w:val="60"/>
          <w:szCs w:val="60"/>
        </w:rPr>
        <w:t xml:space="preserve">Hallazgos de descubrimiento</w:t>
      </w:r>
    </w:p>
    <w:p>
      <w:pPr>
        <w:pBdr>
          <w:bottom w:val="single" w:color="2F5496" w:sz="18" w:space="10"/>
        </w:pBdr>
        <w:spacing w:after="280"/>
      </w:pPr>
      <w:r>
        <w:rPr>
          <w:rFonts w:ascii="Arial" w:cs="Arial" w:eastAsia="Arial" w:hAnsi="Arial"/>
          <w:color w:val="595959"/>
          <w:sz w:val="26"/>
          <w:szCs w:val="26"/>
        </w:rPr>
        <w:t xml:space="preserve">Fase 0 — Síntesis de entrevistas (escenario simulado)</w:t>
      </w:r>
    </w:p>
    <w:p>
      <w:pPr>
        <w:pStyle w:val="Subtitle"/>
        <w:jc w:val="center"/>
      </w:pPr>
      <w:r>
        <w:rPr>
          <w:b/>
          <w:color w:val="C00000"/>
          <w:sz w:val="24"/>
        </w:rPr>
        <w:t>S-0.1 es un escenario simulado, no resultados de entrevistas realizadas.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Proyecto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t>Chulito (antes Confirma)</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Código del documento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CNF-HAL-001-S</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ID de escenario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S-0.1</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Fecha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11 de octubre de 2026</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Autor</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Edwin Carabalí</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Estado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Escenario simulado — revisión documental v0.2</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Referencia normativa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Plantilla de informe de síntesis de investigación</w:t>
            </w:r>
          </w:p>
        </w:tc>
      </w:tr>
      <w:tr>
        <w:tc>
          <w:tcPr>
            <w:tcW w:type="dxa" w:w="2600"/>
          </w:tcPr>
          <w:p>
            <w:r>
              <w:t>Revisión documental</w:t>
            </w:r>
          </w:p>
        </w:tc>
        <w:tc>
          <w:tcPr>
            <w:tcW w:type="dxa" w:w="6760"/>
          </w:tcPr>
          <w:p>
            <w:r>
              <w:t>v0.2</w:t>
            </w:r>
          </w:p>
        </w:tc>
      </w:tr>
    </w:tbl>
    <w:p>
      <w:pPr>
        <w:spacing w:after="300"/>
      </w:pPr>
    </w:p>
    <w:p>
      <w:pPr>
        <w:pBdr>
          <w:top w:val="single" w:color="C00000" w:sz="12" w:space="6"/>
          <w:bottom w:val="single" w:color="C00000" w:sz="12" w:space="6"/>
        </w:pBdr>
        <w:shd w:fill="FCE4D6" w:color="auto" w:val="clear"/>
        <w:spacing w:after="120" w:before="120"/>
        <w:jc w:val="center"/>
      </w:pPr>
      <w:r>
        <w:rPr>
          <w:rFonts w:ascii="Arial" w:cs="Arial" w:eastAsia="Arial" w:hAnsi="Arial"/>
          <w:b/>
          <w:bCs/>
          <w:color w:val="C00000"/>
          <w:sz w:val="22"/>
          <w:szCs w:val="22"/>
        </w:rPr>
        <w:t xml:space="preserve">ESCENARIO SIMULADO — NO ES EVIDENCIA DE CAMPO</w:t>
      </w:r>
    </w:p>
    <w:p>
      <w:pPr>
        <w:pStyle w:val="Normal"/>
      </w:pPr>
      <w:r>
        <w:rPr>
          <w:b/>
          <w:color w:val="C00000"/>
          <w:sz w:val="20"/>
        </w:rPr>
        <w:t>Todas las cifras, conteos, porcentajes, tiempos, montos y etiquetas de este informe son exclusivamente ficticios e ilustrativos. Solo generan hipótesis de trabajo; deben reemplazarse por datos de campo real.</w:t>
      </w:r>
    </w:p>
    <w:p>
      <w:pPr>
        <w:sectPr>
          <w:headerReference w:type="default" r:id="rId10"/>
          <w:footerReference w:type="default" r:id="rId11"/>
          <w:pgSz w:w="12240" w:h="15840" w:orient="portrait"/>
          <w:pgMar w:top="1440" w:right="1440" w:bottom="1300" w:left="1440" w:header="600" w:footer="600" w:gutter="0"/>
          <w:pgNumType/>
          <w:docGrid w:linePitch="360"/>
        </w:sectPr>
      </w:pPr>
    </w:p>
    <w:p>
      <w:pPr>
        <w:pStyle w:val="FrontH"/>
      </w:pPr>
      <w:r>
        <w:rPr>
          <w:rFonts w:ascii="Arial" w:cs="Arial" w:eastAsia="Arial" w:hAnsi="Arial"/>
        </w:rPr>
        <w:t xml:space="preserve">Control del documento</w:t>
      </w:r>
    </w:p>
    <w:p>
      <w:pPr>
        <w:pStyle w:val="FrontS"/>
      </w:pPr>
      <w:r>
        <w:rPr>
          <w:rFonts w:ascii="Arial" w:cs="Arial" w:eastAsia="Arial" w:hAnsi="Arial"/>
        </w:rPr>
        <w:t xml:space="preserve">Información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Código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CNF-HAL-001-S</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Título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Hallazgos de descubrimiento</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Proyecto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t>Chulito (antes Confirma)</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ID de escenario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S-0.1</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Estado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Escenario simulado; no resultados de entrevistas realizadas</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Clasificación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Interno — borrador de trabajo</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Referencia normativa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Plantilla de informe de síntesis de investigación</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Idioma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Español (Colombia)</w:t>
            </w:r>
          </w:p>
        </w:tc>
      </w:tr>
      <w:tr>
        <w:tc>
          <w:tcPr>
            <w:tcW w:type="dxa" w:w="2600"/>
          </w:tcPr>
          <w:p>
            <w:r>
              <w:t>Revisión documental vigente</w:t>
            </w:r>
          </w:p>
        </w:tc>
        <w:tc>
          <w:tcPr>
            <w:tcW w:type="dxa" w:w="6760"/>
          </w:tcPr>
          <w:p>
            <w:r>
              <w:t>v0.2</w:t>
            </w:r>
          </w:p>
        </w:tc>
      </w:tr>
    </w:tbl>
    <w:p>
      <w:pPr>
        <w:pStyle w:val="FrontS"/>
      </w:pPr>
      <w:r>
        <w:rPr>
          <w:rFonts w:ascii="Arial" w:cs="Arial" w:eastAsia="Arial" w:hAnsi="Arial"/>
        </w:rPr>
        <w:t xml:space="preserve">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6"/>
        <w:gridCol w:w="1428"/>
        <w:gridCol w:w="1207"/>
        <w:gridCol w:w="5729"/>
      </w:tblGrid>
      <w:tr>
        <w:trPr>
          <w:cantSplit/>
          <w:tblHeader/>
        </w:trPr>
        <w:tc>
          <w:tcPr>
            <w:tcW w:type="dxa" w:w="9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Versión</w:t>
            </w:r>
          </w:p>
        </w:tc>
        <w:tc>
          <w:tcPr>
            <w:tcW w:type="dxa" w:w="14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Fecha</w:t>
            </w:r>
          </w:p>
        </w:tc>
        <w:tc>
          <w:tcPr>
            <w:tcW w:type="dxa" w:w="12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Autor</w:t>
            </w:r>
          </w:p>
        </w:tc>
        <w:tc>
          <w:tcPr>
            <w:tcW w:type="dxa" w:w="57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Descripción del cambio</w:t>
            </w:r>
          </w:p>
        </w:tc>
      </w:tr>
      <w:tr>
        <w:trPr>
          <w:cantSplit/>
        </w:trPr>
        <w:tc>
          <w:tcPr>
            <w:tcW w:type="dxa" w:w="9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S-0.1</w:t>
            </w:r>
          </w:p>
        </w:tc>
        <w:tc>
          <w:tcPr>
            <w:tcW w:type="dxa" w:w="14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11-oct-2026</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Edwin Carabalí</w:t>
            </w:r>
          </w:p>
        </w:tc>
        <w:tc>
          <w:tcPr>
            <w:tcW w:type="dxa" w:w="57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Escenario simulado para ensayar el proceso; no contiene datos reales</w:t>
            </w:r>
          </w:p>
        </w:tc>
      </w:tr>
      <w:tr>
        <w:tc>
          <w:tcPr>
            <w:tcW w:type="dxa" w:w="996"/>
          </w:tcPr>
          <w:p>
            <w:r>
              <w:t>v0.2</w:t>
            </w:r>
          </w:p>
        </w:tc>
        <w:tc>
          <w:tcPr>
            <w:tcW w:type="dxa" w:w="1428"/>
          </w:tcPr>
          <w:p>
            <w:r>
              <w:t>17-oct-2026</w:t>
            </w:r>
          </w:p>
        </w:tc>
        <w:tc>
          <w:tcPr>
            <w:tcW w:type="dxa" w:w="1207"/>
          </w:tcPr>
          <w:p>
            <w:r>
              <w:t>Edwin Carabalí</w:t>
            </w:r>
          </w:p>
        </w:tc>
        <w:tc>
          <w:tcPr>
            <w:tcW w:type="dxa" w:w="5729"/>
          </w:tcPr>
          <w:p>
            <w:r>
              <w:t>Revisión documental: marca visible Chulito; advertencia literal en portada y encabezado; cifras exclusivamente ficticias; implicaciones limitadas a hipótesis sustituibles por campo real.</w:t>
            </w:r>
          </w:p>
        </w:tc>
      </w:tr>
    </w:tbl>
    <w:p>
      <w:pPr>
        <w:pStyle w:val="FrontS"/>
      </w:pPr>
      <w:r>
        <w:rPr>
          <w:rFonts w:ascii="Arial" w:cs="Arial" w:eastAsia="Arial" w:hAnsi="Arial"/>
        </w:rPr>
        <w:t xml:space="preserve">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9"/>
        <w:gridCol w:w="2884"/>
        <w:gridCol w:w="2159"/>
        <w:gridCol w:w="2158"/>
      </w:tblGrid>
      <w:tr>
        <w:trPr>
          <w:cantSplit/>
          <w:tblHeader/>
        </w:trPr>
        <w:tc>
          <w:tcPr>
            <w:tcW w:type="dxa" w:w="21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Rol</w:t>
            </w:r>
          </w:p>
        </w:tc>
        <w:tc>
          <w:tcPr>
            <w:tcW w:type="dxa" w:w="28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Nombre</w:t>
            </w:r>
          </w:p>
        </w:tc>
        <w:tc>
          <w:tcPr>
            <w:tcW w:type="dxa" w:w="21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Firma</w:t>
            </w:r>
          </w:p>
        </w:tc>
        <w:tc>
          <w:tcPr>
            <w:tcW w:type="dxa" w:w="21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Fecha</w:t>
            </w:r>
          </w:p>
        </w:tc>
      </w:tr>
      <w:tr>
        <w:trPr>
          <w:cantSplit/>
        </w:trPr>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Elaboró</w:t>
            </w:r>
          </w:p>
        </w:tc>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Edwin Carabalí</w:t>
            </w:r>
          </w:p>
        </w:tc>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2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11-oct-2026</w:t>
            </w:r>
          </w:p>
        </w:tc>
      </w:tr>
      <w:tr>
        <w:trPr>
          <w:cantSplit/>
        </w:trPr>
        <w:tc>
          <w:tcPr>
            <w:tcW w:type="dxa" w:w="215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Revisó</w:t>
            </w:r>
          </w:p>
        </w:tc>
        <w:tc>
          <w:tcPr>
            <w:tcW w:type="dxa" w:w="288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Pendiente</w:t>
            </w:r>
          </w:p>
        </w:tc>
        <w:tc>
          <w:tcPr>
            <w:tcW w:type="dxa" w:w="215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215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r>
        <w:trPr>
          <w:cantSplit/>
        </w:trPr>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Aprobó</w:t>
            </w:r>
          </w:p>
        </w:tc>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Pendiente</w:t>
            </w:r>
          </w:p>
        </w:tc>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2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bl>
    <w:p>
      <w:pPr>
        <w:pStyle w:val="FrontS"/>
      </w:pPr>
      <w:r>
        <w:rPr>
          <w:rFonts w:ascii="Arial" w:cs="Arial" w:eastAsia="Arial" w:hAnsi="Arial"/>
        </w:rPr>
        <w:t xml:space="preserve">Distribución</w:t>
      </w:r>
    </w:p>
    <w:p>
      <w:pPr>
        <w:spacing w:after="120" w:line="276"/>
      </w:pPr>
      <w:r>
        <w:rPr>
          <w:rFonts w:ascii="Arial" w:cs="Arial" w:eastAsia="Arial" w:hAnsi="Arial"/>
          <w:sz w:val="21"/>
          <w:szCs w:val="21"/>
        </w:rPr>
        <w:t xml:space="preserve">Repositorio del proyecto, carpeta </w:t>
      </w:r>
      <w:r>
        <w:rPr>
          <w:rFonts w:ascii="Consolas" w:cs="Consolas" w:eastAsia="Consolas" w:hAnsi="Consolas"/>
          <w:sz w:val="19"/>
          <w:szCs w:val="19"/>
        </w:rPr>
        <w:t xml:space="preserve">docs/</w:t>
      </w:r>
      <w:r>
        <w:rPr>
          <w:rFonts w:ascii="Arial" w:cs="Arial" w:eastAsia="Arial" w:hAnsi="Arial"/>
          <w:sz w:val="21"/>
          <w:szCs w:val="21"/>
        </w:rPr>
        <w:t xml:space="preserve">. Documento vivo: cada cambio sube la versión y se registra en el historial de revisiones.</w:t>
      </w:r>
    </w:p>
    <w:p>
      <w:r>
        <w:br w:type="page"/>
      </w:r>
    </w:p>
    <w:p>
      <w:pPr>
        <w:pStyle w:val="FrontH"/>
      </w:pPr>
      <w:r>
        <w:rPr>
          <w:rFonts w:ascii="Arial" w:cs="Arial" w:eastAsia="Arial" w:hAnsi="Arial"/>
        </w:rPr>
        <w:t xml:space="preserve">Tabla de contenido</w:t>
      </w:r>
    </w:p>
    <w:p>
      <w:pPr>
        <w:tabs>
          <w:tab w:val="right" w:pos="9360" w:leader="dot"/>
        </w:tabs>
        <w:spacing w:after="70" w:before="60"/>
        <w:ind w:left="0"/>
      </w:pPr>
      <w:hyperlink w:history="1" w:anchor="bm0">
        <w:r>
          <w:rPr>
            <w:rFonts w:ascii="Arial" w:cs="Arial" w:eastAsia="Arial" w:hAnsi="Arial"/>
            <w:b/>
            <w:bCs/>
            <w:sz w:val="21"/>
            <w:szCs w:val="21"/>
          </w:rPr>
          <w:t xml:space="preserve">1. Metodología (simulada)</w:t>
        </w:r>
      </w:hyperlink>
      <w:r>
        <w:rPr>
          <w:rFonts w:ascii="Arial" w:cs="Arial" w:eastAsia="Arial" w:hAnsi="Arial"/>
          <w:sz w:val="20"/>
          <w:szCs w:val="20"/>
        </w:rPr>
        <w:tab/>
        <w:t xml:space="preserve">4</w:t>
      </w:r>
    </w:p>
    <w:p>
      <w:pPr>
        <w:tabs>
          <w:tab w:val="right" w:pos="9360" w:leader="dot"/>
        </w:tabs>
        <w:spacing w:after="70" w:before="60"/>
        <w:ind w:left="0"/>
      </w:pPr>
      <w:r>
        <w:t>2. Resultados por hipótesis (cifras ficticias, no empíricas)</w:t>
        <w:tab/>
        <w:t>4</w:t>
      </w:r>
    </w:p>
    <w:p>
      <w:pPr>
        <w:tabs>
          <w:tab w:val="right" w:pos="9360" w:leader="dot"/>
        </w:tabs>
        <w:spacing w:after="70" w:before="60"/>
        <w:ind w:left="0"/>
      </w:pPr>
      <w:hyperlink w:history="1" w:anchor="bm2">
        <w:r>
          <w:rPr>
            <w:rFonts w:ascii="Arial" w:cs="Arial" w:eastAsia="Arial" w:hAnsi="Arial"/>
            <w:b/>
            <w:bCs/>
            <w:sz w:val="21"/>
            <w:szCs w:val="21"/>
          </w:rPr>
          <w:t xml:space="preserve">3. Hallazgos clave (simulados)</w:t>
        </w:r>
      </w:hyperlink>
      <w:r>
        <w:rPr>
          <w:rFonts w:ascii="Arial" w:cs="Arial" w:eastAsia="Arial" w:hAnsi="Arial"/>
          <w:sz w:val="20"/>
          <w:szCs w:val="20"/>
        </w:rPr>
        <w:tab/>
        <w:t xml:space="preserve">4</w:t>
      </w:r>
    </w:p>
    <w:p>
      <w:pPr>
        <w:tabs>
          <w:tab w:val="right" w:pos="9360" w:leader="dot"/>
        </w:tabs>
        <w:spacing w:after="70" w:before="60"/>
        <w:ind w:left="0"/>
      </w:pPr>
      <w:r>
        <w:t>4. Segmentación (simulada)</w:t>
        <w:tab/>
        <w:t>5</w:t>
      </w:r>
    </w:p>
    <w:p>
      <w:pPr>
        <w:tabs>
          <w:tab w:val="right" w:pos="9360" w:leader="dot"/>
        </w:tabs>
        <w:spacing w:after="70" w:before="60"/>
        <w:ind w:left="0"/>
      </w:pPr>
      <w:hyperlink w:history="1" w:anchor="bm4">
        <w:r>
          <w:rPr>
            <w:rFonts w:ascii="Arial" w:cs="Arial" w:eastAsia="Arial" w:hAnsi="Arial"/>
            <w:b/>
            <w:bCs/>
            <w:sz w:val="21"/>
            <w:szCs w:val="21"/>
          </w:rPr>
          <w:t xml:space="preserve">5. Decisión según los criterios de la Guía (sección 8)</w:t>
        </w:r>
      </w:hyperlink>
      <w:r>
        <w:rPr>
          <w:rFonts w:ascii="Arial" w:cs="Arial" w:eastAsia="Arial" w:hAnsi="Arial"/>
          <w:sz w:val="20"/>
          <w:szCs w:val="20"/>
        </w:rPr>
        <w:tab/>
        <w:t xml:space="preserve">5</w:t>
      </w:r>
    </w:p>
    <w:p>
      <w:pPr>
        <w:tabs>
          <w:tab w:val="right" w:pos="9360" w:leader="dot"/>
        </w:tabs>
        <w:spacing w:after="70" w:before="60"/>
        <w:ind w:left="0"/>
      </w:pPr>
      <w:r>
        <w:t>6. Implicaciones hipotéticas para el PRD (no validadas)</w:t>
        <w:tab/>
        <w:t>5</w:t>
      </w:r>
    </w:p>
    <w:p>
      <w:pPr>
        <w:tabs>
          <w:tab w:val="right" w:pos="9360" w:leader="dot"/>
        </w:tabs>
        <w:spacing w:after="70" w:before="60"/>
        <w:ind w:left="0"/>
      </w:pPr>
      <w:hyperlink w:history="1" w:anchor="bm6">
        <w:r>
          <w:rPr>
            <w:rFonts w:ascii="Arial" w:cs="Arial" w:eastAsia="Arial" w:hAnsi="Arial"/>
            <w:b/>
            <w:bCs/>
            <w:sz w:val="21"/>
            <w:szCs w:val="21"/>
          </w:rPr>
          <w:t xml:space="preserve">7. Limitaciones y sesgos (aplican incluso a datos reales)</w:t>
        </w:r>
      </w:hyperlink>
      <w:r>
        <w:rPr>
          <w:rFonts w:ascii="Arial" w:cs="Arial" w:eastAsia="Arial" w:hAnsi="Arial"/>
          <w:sz w:val="20"/>
          <w:szCs w:val="20"/>
        </w:rPr>
        <w:tab/>
        <w:t xml:space="preserve">6</w:t>
      </w:r>
    </w:p>
    <w:p>
      <w:pPr>
        <w:tabs>
          <w:tab w:val="right" w:pos="9360" w:leader="dot"/>
        </w:tabs>
        <w:spacing w:after="70" w:before="60"/>
        <w:ind w:left="0"/>
      </w:pPr>
      <w:hyperlink w:history="1" w:anchor="bm7">
        <w:r>
          <w:rPr>
            <w:rFonts w:ascii="Arial" w:cs="Arial" w:eastAsia="Arial" w:hAnsi="Arial"/>
            <w:b/>
            <w:bCs/>
            <w:sz w:val="21"/>
            <w:szCs w:val="21"/>
          </w:rPr>
          <w:t xml:space="preserve">8. Qué reemplazar cuando haya entrevistas reales</w:t>
        </w:r>
      </w:hyperlink>
      <w:r>
        <w:rPr>
          <w:rFonts w:ascii="Arial" w:cs="Arial" w:eastAsia="Arial" w:hAnsi="Arial"/>
          <w:sz w:val="20"/>
          <w:szCs w:val="20"/>
        </w:rPr>
        <w:tab/>
        <w:t xml:space="preserve">6</w:t>
      </w:r>
    </w:p>
    <w:p>
      <w:r>
        <w:t>9. Glosario..............................................................................................................................6</w:t>
      </w:r>
    </w:p>
    <w:p>
      <w:r>
        <w:br w:type="page"/>
      </w:r>
    </w:p>
    <w:p>
      <w:pPr>
        <w:pBdr>
          <w:left w:val="single" w:color="C00000" w:sz="24" w:space="8"/>
        </w:pBdr>
        <w:shd w:fill="FCE4D6" w:color="auto" w:val="clear"/>
        <w:spacing w:after="160" w:before="80" w:line="276"/>
        <w:ind w:left="180" w:right="120"/>
      </w:pPr>
      <w:r>
        <w:rPr>
          <w:rFonts w:ascii="Arial" w:cs="Arial" w:eastAsia="Arial" w:hAnsi="Arial"/>
          <w:b/>
          <w:bCs/>
          <w:sz w:val="20"/>
          <w:szCs w:val="20"/>
        </w:rPr>
        <w:t xml:space="preserve">AVISO IMPORTANTE.</w:t>
      </w:r>
      <w:r>
        <w:rPr>
          <w:rFonts w:ascii="Arial" w:cs="Arial" w:eastAsia="Arial" w:hAnsi="Arial"/>
          <w:sz w:val="20"/>
          <w:szCs w:val="20"/>
        </w:rPr>
        <w:t xml:space="preserve"> Este documento es un </w:t>
      </w:r>
      <w:r>
        <w:rPr>
          <w:rFonts w:ascii="Arial" w:cs="Arial" w:eastAsia="Arial" w:hAnsi="Arial"/>
          <w:b/>
          <w:bCs/>
          <w:sz w:val="20"/>
          <w:szCs w:val="20"/>
        </w:rPr>
        <w:t xml:space="preserve">escenario ficticio</w:t>
      </w:r>
      <w:r>
        <w:rPr>
          <w:rFonts w:ascii="Arial" w:cs="Arial" w:eastAsia="Arial" w:hAnsi="Arial"/>
          <w:sz w:val="20"/>
          <w:szCs w:val="20"/>
        </w:rPr>
        <w:t xml:space="preserve"> construido para ensayar el proceso y desbloquear el trabajo de la Fase 0. </w:t>
      </w:r>
      <w:r>
        <w:rPr>
          <w:rFonts w:ascii="Arial" w:cs="Arial" w:eastAsia="Arial" w:hAnsi="Arial"/>
          <w:b/>
          <w:bCs/>
          <w:sz w:val="20"/>
          <w:szCs w:val="20"/>
        </w:rPr>
        <w:t xml:space="preserve">No hay entrevistas reales detrás de estas cifras.</w:t>
      </w:r>
      <w:r>
        <w:rPr>
          <w:rFonts w:ascii="Arial" w:cs="Arial" w:eastAsia="Arial" w:hAnsi="Arial"/>
          <w:sz w:val="20"/>
          <w:szCs w:val="20"/>
        </w:rPr>
        <w:t xml:space="preserve"> Los números son ilustrativos y NO deben citarse como evidencia en el PRD, en el README, en el CV ni en una entrevista de trabajo. Cuando se hagan las entrevistas reales, este documento se reemplaza por el informe verdadero con el mismo formato.</w:t>
      </w:r>
    </w:p>
    <w:p>
      <w:pPr>
        <w:pStyle w:val="Heading1"/>
      </w:pPr>
      <w:bookmarkStart w:name="bm0" w:id="1"/>
      <w:r>
        <w:rPr>
          <w:rFonts w:ascii="Arial" w:cs="Arial" w:eastAsia="Arial" w:hAnsi="Arial"/>
        </w:rPr>
        <w:t xml:space="preserve">1. Metodología (simulada)</w:t>
      </w:r>
      <w:bookmarkEnd w:id="1"/>
    </w:p>
    <w:p>
      <w:pPr>
        <w:pStyle w:val="Normal"/>
      </w:pPr>
      <w:r>
        <w:rPr>
          <w:b/>
          <w:color w:val="C00000"/>
          <w:sz w:val="20"/>
        </w:rPr>
        <w:t>Aviso de lectura: este informe no resume entrevistas reales. Todos los números y proporciones que siguen son ficticios e ilustrativos; no deben citarse como evidencia ni presentarse como hallazgos empíricos.</w:t>
      </w:r>
    </w:p>
    <w:p>
      <w:pPr>
        <w:pStyle w:val="ListParagraph"/>
        <w:numPr>
          <w:ilvl w:val="0"/>
          <w:numId w:val="2"/>
        </w:numPr>
        <w:spacing w:after="60" w:line="276"/>
      </w:pPr>
      <w:r>
        <w:rPr>
          <w:rFonts w:ascii="Arial" w:cs="Arial" w:eastAsia="Arial" w:hAnsi="Arial"/>
          <w:sz w:val="21"/>
          <w:szCs w:val="21"/>
        </w:rPr>
        <w:t xml:space="preserve">16 entrevistas de 20 a 30 minutos siguiendo la Guía de entrevistas v0.1.</w:t>
      </w:r>
    </w:p>
    <w:p>
      <w:pPr>
        <w:pStyle w:val="ListParagraph"/>
        <w:numPr>
          <w:ilvl w:val="0"/>
          <w:numId w:val="2"/>
        </w:numPr>
        <w:spacing w:after="60" w:line="276"/>
      </w:pPr>
      <w:r>
        <w:rPr>
          <w:rFonts w:ascii="Arial" w:cs="Arial" w:eastAsia="Arial" w:hAnsi="Arial"/>
          <w:sz w:val="21"/>
          <w:szCs w:val="21"/>
        </w:rPr>
        <w:t xml:space="preserve">Muestra: 5 tiendas de barrio, 4 negocios de comida o domicilios, 4 vendedores por redes sociales o emprendedores, 3 cajeros o empleados.</w:t>
      </w:r>
    </w:p>
    <w:p>
      <w:pPr>
        <w:pStyle w:val="ListParagraph"/>
        <w:numPr>
          <w:ilvl w:val="0"/>
          <w:numId w:val="2"/>
        </w:numPr>
        <w:spacing w:after="60" w:line="276"/>
      </w:pPr>
      <w:r>
        <w:rPr>
          <w:rFonts w:ascii="Arial" w:cs="Arial" w:eastAsia="Arial" w:hAnsi="Arial"/>
          <w:sz w:val="21"/>
          <w:szCs w:val="21"/>
        </w:rPr>
        <w:t xml:space="preserve">Registro anónimo, sin nombres ni datos de terceros.</w:t>
      </w:r>
    </w:p>
    <w:p>
      <w:pPr>
        <w:spacing w:after="60"/>
      </w:pPr>
    </w:p>
    <w:p>
      <w:pPr>
        <w:pStyle w:val="Heading1"/>
      </w:pPr>
      <w:bookmarkStart w:name="bm1" w:id="2"/>
      <w:r>
        <w:rPr>
          <w:rFonts w:ascii="Arial" w:cs="Arial" w:eastAsia="Arial" w:hAnsi="Arial"/>
        </w:rPr>
        <w:t>2. Resultados por hipótesis (cifras ficticias, no empíricas)</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3"/>
        <w:gridCol w:w="2486"/>
        <w:gridCol w:w="4735"/>
        <w:gridCol w:w="1536"/>
      </w:tblGrid>
      <w:tr>
        <w:trPr>
          <w:cantSplit/>
          <w:tblHeader/>
        </w:trPr>
        <w:tc>
          <w:tcPr>
            <w:tcW w:type="dxa" w:w="6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ID</w:t>
            </w:r>
          </w:p>
        </w:tc>
        <w:tc>
          <w:tcPr>
            <w:tcW w:type="dxa" w:w="248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Hipótesis</w:t>
            </w:r>
          </w:p>
        </w:tc>
        <w:tc>
          <w:tcPr>
            <w:tcW w:type="dxa" w:w="47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Resultado simulado</w:t>
            </w:r>
          </w:p>
        </w:tc>
        <w:tc>
          <w:tcPr>
            <w:tcW w:type="dxa" w:w="153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Estado (simulado)</w:t>
            </w:r>
          </w:p>
        </w:tc>
      </w:tr>
      <w:tr>
        <w:trPr>
          <w:cantSplit/>
        </w:trPr>
        <w:tc>
          <w:tcPr>
            <w:tcW w:type="dxa" w:w="6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H1</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Reciben pagos digitales con frecuencia</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14 de 16 cobran por medios digitales cada semana; la proporción va de 20 % a 60 % de sus ventas</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Confirmada</w:t>
            </w:r>
          </w:p>
        </w:tc>
      </w:tr>
      <w:tr>
        <w:trPr>
          <w:cantSplit/>
        </w:trPr>
        <w:tc>
          <w:tcPr>
            <w:tcW w:type="dxa" w:w="60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H2</w:t>
            </w:r>
          </w:p>
        </w:tc>
        <w:tc>
          <w:tcPr>
            <w:tcW w:type="dxa" w:w="248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Validan con pantallazo</w:t>
            </w:r>
          </w:p>
        </w:tc>
        <w:tc>
          <w:tcPr>
            <w:tcW w:type="dxa" w:w="473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9 de 16 aceptan pantallazo, sobre todo en transferencias por número o llave; con QR suelen mirar la notificación</w:t>
            </w:r>
          </w:p>
        </w:tc>
        <w:tc>
          <w:tcPr>
            <w:tcW w:type="dxa" w:w="153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Confirmada parcialmente</w:t>
            </w:r>
          </w:p>
        </w:tc>
      </w:tr>
      <w:tr>
        <w:trPr>
          <w:cantSplit/>
        </w:trPr>
        <w:tc>
          <w:tcPr>
            <w:tcW w:type="dxa" w:w="6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H3</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Conocen casos de comprobante falso o dudoso</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8 de 16 cuentan un caso concreto en los últimos 6 meses</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Confirmada</w:t>
            </w:r>
          </w:p>
        </w:tc>
      </w:tr>
      <w:tr>
        <w:trPr>
          <w:cantSplit/>
        </w:trPr>
        <w:tc>
          <w:tcPr>
            <w:tcW w:type="dxa" w:w="60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H4</w:t>
            </w:r>
          </w:p>
        </w:tc>
        <w:tc>
          <w:tcPr>
            <w:tcW w:type="dxa" w:w="248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Les cuesta dinero o tiempo</w:t>
            </w:r>
          </w:p>
        </w:tc>
        <w:tc>
          <w:tcPr>
            <w:tcW w:type="dxa" w:w="473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Montos típicos pequeños; un caso grande. El mayor costo es el tiempo y la tensión de verificar en la fila</w:t>
            </w:r>
          </w:p>
        </w:tc>
        <w:tc>
          <w:tcPr>
            <w:tcW w:type="dxa" w:w="153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Confirmada, con matices</w:t>
            </w:r>
          </w:p>
        </w:tc>
      </w:tr>
      <w:tr>
        <w:trPr>
          <w:cantSplit/>
        </w:trPr>
        <w:tc>
          <w:tcPr>
            <w:tcW w:type="dxa" w:w="6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H5</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Ya improvisan soluciones incómodas</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11 de 16 revisan la app o llaman al dueño; 5 de 16 dicen que el verificador de Nequi les basta</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Confirmada parcialmente</w:t>
            </w:r>
          </w:p>
        </w:tc>
      </w:tr>
      <w:tr>
        <w:trPr>
          <w:cantSplit/>
        </w:trPr>
        <w:tc>
          <w:tcPr>
            <w:tcW w:type="dxa" w:w="60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H6</w:t>
            </w:r>
          </w:p>
        </w:tc>
        <w:tc>
          <w:tcPr>
            <w:tcW w:type="dxa" w:w="248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Probarían una herramienta nueva</w:t>
            </w:r>
          </w:p>
        </w:tc>
        <w:tc>
          <w:tcPr>
            <w:tcW w:type="dxa" w:w="473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7 de 16 la probarían en un piloto; 11 de 16 se preocupan por dar acceso a su correo</w:t>
            </w:r>
          </w:p>
        </w:tc>
        <w:tc>
          <w:tcPr>
            <w:tcW w:type="dxa" w:w="153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Mixta</w:t>
            </w:r>
          </w:p>
        </w:tc>
      </w:tr>
    </w:tbl>
    <w:p>
      <w:pPr>
        <w:spacing w:after="160"/>
      </w:pPr>
    </w:p>
    <w:p>
      <w:pPr>
        <w:pStyle w:val="Heading1"/>
      </w:pPr>
      <w:bookmarkStart w:name="bm2" w:id="3"/>
      <w:r>
        <w:rPr>
          <w:rFonts w:ascii="Arial" w:cs="Arial" w:eastAsia="Arial" w:hAnsi="Arial"/>
        </w:rPr>
        <w:t xml:space="preserve">3. Hallazgos clave (simulados)</w:t>
      </w:r>
      <w:bookmarkEnd w:id="3"/>
    </w:p>
    <w:p>
      <w:pPr>
        <w:pStyle w:val="ListParagraph"/>
        <w:numPr>
          <w:ilvl w:val="0"/>
          <w:numId w:val="3"/>
        </w:numPr>
        <w:spacing w:after="80" w:line="276"/>
      </w:pPr>
      <w:r>
        <w:rPr>
          <w:rFonts w:ascii="Arial" w:cs="Arial" w:eastAsia="Arial" w:hAnsi="Arial"/>
          <w:b/>
          <w:bCs/>
          <w:sz w:val="21"/>
          <w:szCs w:val="21"/>
        </w:rPr>
        <w:t>En este escenario simulado, el fraude por sí solo se representa como un dolor, pero no el mayor. En la simulación, buena parte de los entrevistados ficticios ya usa el verificador de Nequi o las alertas del banco.</w:t>
      </w:r>
      <w:r>
        <w:rPr>
          <w:rFonts w:ascii="Arial" w:cs="Arial" w:eastAsia="Arial" w:hAnsi="Arial"/>
          <w:sz w:val="21"/>
          <w:szCs w:val="21"/>
        </w:rPr>
      </w:r>
    </w:p>
    <w:p>
      <w:pPr>
        <w:pStyle w:val="ListParagraph"/>
        <w:numPr>
          <w:ilvl w:val="0"/>
          <w:numId w:val="3"/>
        </w:numPr>
        <w:spacing w:after="80" w:line="276"/>
      </w:pPr>
      <w:r>
        <w:rPr>
          <w:rFonts w:ascii="Arial" w:cs="Arial" w:eastAsia="Arial" w:hAnsi="Arial"/>
          <w:b/>
          <w:bCs/>
          <w:sz w:val="21"/>
          <w:szCs w:val="21"/>
        </w:rPr>
        <w:t>En este escenario simulado, el dolor más repetido se representa como el empleado que no ve el pago. Las alertas llegan al dueño. En los negocios con empleados, 6 de 7 describen, dentro de la simulación, que deben llamar al dueño o pasarse el celular.</w:t>
      </w:r>
      <w:r>
        <w:rPr>
          <w:rFonts w:ascii="Arial" w:cs="Arial" w:eastAsia="Arial" w:hAnsi="Arial"/>
          <w:sz w:val="21"/>
          <w:szCs w:val="21"/>
        </w:rPr>
      </w:r>
    </w:p>
    <w:p>
      <w:pPr>
        <w:pStyle w:val="ListParagraph"/>
        <w:numPr>
          <w:ilvl w:val="0"/>
          <w:numId w:val="3"/>
        </w:numPr>
        <w:spacing w:after="80" w:line="276"/>
      </w:pPr>
      <w:r>
        <w:rPr>
          <w:rFonts w:ascii="Arial" w:cs="Arial" w:eastAsia="Arial" w:hAnsi="Arial"/>
          <w:b/>
          <w:bCs/>
          <w:sz w:val="21"/>
          <w:szCs w:val="21"/>
        </w:rPr>
        <w:t>En este escenario simulado, el cierre del día se representa como manual. 10 de 16 cuadran la caja juntando varias apps y un cuaderno; el escenario los describe haciéndolo en 20 a 40 minutos cada noche.</w:t>
      </w:r>
      <w:r>
        <w:rPr>
          <w:rFonts w:ascii="Arial" w:cs="Arial" w:eastAsia="Arial" w:hAnsi="Arial"/>
          <w:sz w:val="21"/>
          <w:szCs w:val="21"/>
        </w:rPr>
      </w:r>
    </w:p>
    <w:p>
      <w:pPr>
        <w:pStyle w:val="ListParagraph"/>
        <w:numPr>
          <w:ilvl w:val="0"/>
          <w:numId w:val="3"/>
        </w:numPr>
        <w:spacing w:after="80" w:line="276"/>
      </w:pPr>
      <w:r>
        <w:rPr>
          <w:rFonts w:ascii="Arial" w:cs="Arial" w:eastAsia="Arial" w:hAnsi="Arial"/>
          <w:b/>
          <w:bCs/>
          <w:sz w:val="21"/>
          <w:szCs w:val="21"/>
        </w:rPr>
        <w:t>En este escenario simulado, los parlantes se representan como una ayuda parcial. 3 de 16 tienen uno; el escenario indica que les gusta el aviso, pero no deja historial, depende de un solo proveedor y no ayuda al cuadre.</w:t>
      </w:r>
      <w:r>
        <w:rPr>
          <w:rFonts w:ascii="Arial" w:cs="Arial" w:eastAsia="Arial" w:hAnsi="Arial"/>
          <w:sz w:val="21"/>
          <w:szCs w:val="21"/>
        </w:rPr>
      </w:r>
    </w:p>
    <w:p>
      <w:pPr>
        <w:pStyle w:val="ListParagraph"/>
        <w:numPr>
          <w:ilvl w:val="0"/>
          <w:numId w:val="3"/>
        </w:numPr>
        <w:spacing w:after="80" w:line="276"/>
      </w:pPr>
      <w:r>
        <w:rPr>
          <w:rFonts w:ascii="Arial" w:cs="Arial" w:eastAsia="Arial" w:hAnsi="Arial"/>
          <w:b/>
          <w:bCs/>
          <w:sz w:val="21"/>
          <w:szCs w:val="21"/>
        </w:rPr>
        <w:t>En este escenario simulado, la privacidad se representa como el freno principal. La idea de dar acceso total al correo genera rechazo en el escenario; se representa una mejor aceptación de algo que ellos controlen y que lea solo mensajes de pago.</w:t>
      </w:r>
      <w:r>
        <w:rPr>
          <w:rFonts w:ascii="Arial" w:cs="Arial" w:eastAsia="Arial" w:hAnsi="Arial"/>
          <w:sz w:val="21"/>
          <w:szCs w:val="21"/>
        </w:rPr>
      </w:r>
    </w:p>
    <w:p>
      <w:pPr>
        <w:spacing w:after="60"/>
      </w:pPr>
    </w:p>
    <w:p>
      <w:pPr>
        <w:pStyle w:val="Heading1"/>
      </w:pPr>
      <w:bookmarkStart w:name="bm3" w:id="4"/>
      <w:r>
        <w:rPr>
          <w:rFonts w:ascii="Arial" w:cs="Arial" w:eastAsia="Arial" w:hAnsi="Arial"/>
        </w:rPr>
        <w:t>4. Segmentación (simulada)</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18"/>
        <w:gridCol w:w="3830"/>
        <w:gridCol w:w="1212"/>
      </w:tblGrid>
      <w:tr>
        <w:trPr>
          <w:cantSplit/>
          <w:tblHeader/>
        </w:trPr>
        <w:tc>
          <w:tcPr>
            <w:tcW w:type="dxa" w:w="43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Segmento</w:t>
            </w:r>
          </w:p>
        </w:tc>
        <w:tc>
          <w:tcPr>
            <w:tcW w:type="dxa" w:w="38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Dolor principal</w:t>
            </w:r>
          </w:p>
        </w:tc>
        <w:tc>
          <w:tcPr>
            <w:tcW w:type="dxa" w:w="1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Prioridad inicial</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Tienda de barrio o comida </w:t>
            </w:r>
            <w:r>
              <w:rPr>
                <w:rFonts w:ascii="Arial" w:cs="Arial" w:eastAsia="Arial" w:hAnsi="Arial"/>
                <w:b/>
                <w:bCs/>
                <w:sz w:val="18"/>
                <w:szCs w:val="18"/>
              </w:rPr>
              <w:t xml:space="preserve">con empleados</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Empleado sin visibilidad del pago + cuadre diario</w:t>
            </w: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b/>
                <w:bCs/>
                <w:sz w:val="18"/>
                <w:szCs w:val="18"/>
              </w:rPr>
              <w:t xml:space="preserve">Alta</w:t>
            </w:r>
          </w:p>
        </w:tc>
      </w:tr>
      <w:tr>
        <w:trPr>
          <w:cantSplit/>
        </w:trPr>
        <w:tc>
          <w:tcPr>
            <w:tcW w:type="dxa" w:w="431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Vendedor por redes (cobra solo)</w:t>
            </w:r>
          </w:p>
        </w:tc>
        <w:tc>
          <w:tcPr>
            <w:tcW w:type="dxa" w:w="383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Pantallazos y verificación rápida</w:t>
            </w:r>
          </w:p>
        </w:tc>
        <w:tc>
          <w:tcPr>
            <w:tcW w:type="dxa" w:w="121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Media</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Cobra solo, presencial, casi todo por QR</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Casi ninguno</w:t>
            </w: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Baja</w:t>
            </w:r>
          </w:p>
        </w:tc>
      </w:tr>
    </w:tbl>
    <w:p>
      <w:pPr>
        <w:spacing w:after="160"/>
      </w:pPr>
    </w:p>
    <w:p>
      <w:pPr>
        <w:pStyle w:val="Heading1"/>
      </w:pPr>
      <w:bookmarkStart w:name="bm4" w:id="5"/>
      <w:r>
        <w:rPr>
          <w:rFonts w:ascii="Arial" w:cs="Arial" w:eastAsia="Arial" w:hAnsi="Arial"/>
        </w:rPr>
        <w:t xml:space="preserve">5. Decisión según los criterios de la Guía (sección 8)</w:t>
      </w:r>
      <w:bookmarkEnd w:id="5"/>
    </w:p>
    <w:p>
      <w:pPr>
        <w:pStyle w:val="ListParagraph"/>
        <w:numPr>
          <w:ilvl w:val="0"/>
          <w:numId w:val="2"/>
        </w:numPr>
        <w:spacing w:after="60" w:line="276"/>
      </w:pPr>
      <w:r>
        <w:rPr>
          <w:rFonts w:ascii="Arial" w:cs="Arial" w:eastAsia="Arial" w:hAnsi="Arial"/>
          <w:sz w:val="21"/>
          <w:szCs w:val="21"/>
        </w:rPr>
        <w:t>En la simulación, los casos concretos son 8 de 16, lo que cumple el umbral de continuar definido para el ejercicio; este conteo no es evidencia de campo.</w:t>
      </w:r>
    </w:p>
    <w:p>
      <w:pPr>
        <w:pStyle w:val="ListParagraph"/>
        <w:numPr>
          <w:ilvl w:val="0"/>
          <w:numId w:val="2"/>
        </w:numPr>
        <w:spacing w:after="60" w:line="276"/>
      </w:pPr>
      <w:r>
        <w:rPr>
          <w:rFonts w:ascii="Arial" w:cs="Arial" w:eastAsia="Arial" w:hAnsi="Arial"/>
          <w:sz w:val="21"/>
          <w:szCs w:val="21"/>
        </w:rPr>
        <w:t>En la simulación, el problema se concentra en un perfil (negocios con empleados y varios medios de pago) y el fraude puro está parcialmente cubierto por los emisores; esta lectura debe comprobarse con campo real.</w:t>
      </w:r>
      <w:r>
        <w:rPr>
          <w:rFonts w:ascii="Arial" w:cs="Arial" w:eastAsia="Arial" w:hAnsi="Arial"/>
          <w:b/>
          <w:bCs/>
          <w:sz w:val="21"/>
          <w:szCs w:val="21"/>
        </w:rPr>
      </w:r>
      <w:r>
        <w:rPr>
          <w:rFonts w:ascii="Arial" w:cs="Arial" w:eastAsia="Arial" w:hAnsi="Arial"/>
          <w:sz w:val="21"/>
          <w:szCs w:val="21"/>
        </w:rPr>
      </w:r>
    </w:p>
    <w:p>
      <w:pPr>
        <w:pStyle w:val="ListParagraph"/>
        <w:numPr>
          <w:ilvl w:val="0"/>
          <w:numId w:val="2"/>
        </w:numPr>
        <w:spacing w:after="60" w:line="276"/>
      </w:pPr>
      <w:r>
        <w:rPr>
          <w:rFonts w:ascii="Arial" w:cs="Arial" w:eastAsia="Arial" w:hAnsi="Arial"/>
          <w:b/>
          <w:bCs/>
          <w:sz w:val="21"/>
          <w:szCs w:val="21"/>
        </w:rPr>
        <w:t xml:space="preserve">Decisión simulada: REPLANTEAR EL ALCANCE</w:t>
      </w:r>
      <w:r>
        <w:rPr>
          <w:rFonts w:ascii="Arial" w:cs="Arial" w:eastAsia="Arial" w:hAnsi="Arial"/>
          <w:sz w:val="21"/>
          <w:szCs w:val="21"/>
        </w:rPr>
        <w:t xml:space="preserve"> (no cambiar de proyecto).</w:t>
      </w:r>
    </w:p>
    <w:p>
      <w:pPr>
        <w:spacing w:after="60"/>
      </w:pPr>
    </w:p>
    <w:p>
      <w:pPr>
        <w:pStyle w:val="Heading1"/>
      </w:pPr>
      <w:r>
        <w:t>6. Implicaciones hipotéticas para el PRD (no validadas)</w:t>
      </w:r>
    </w:p>
    <w:p>
      <w:pPr>
        <w:pStyle w:val="Normal"/>
      </w:pPr>
      <w:r>
        <w:rPr>
          <w:b w:val="0"/>
        </w:rPr>
        <w:t>No cambies el valor de ninguna cifra simulada para hacerla parecer un hallazgo: sustituye toda la sección por resultados reales cuando existan entrevistas realizadas.</w:t>
      </w:r>
    </w:p>
    <w:p>
      <w:pPr>
        <w:pStyle w:val="Normal"/>
      </w:pPr>
      <w:r>
        <w:rPr>
          <w:b w:val="0"/>
        </w:rPr>
        <w:t>Solo generan hipótesis de diseño, segmento, métricas y riesgos para orientar la siguiente investigación. Deben reemplazarse por observaciones, citas y métricas del campo real antes de aceptarse, implementarse o citarse en el PRD.</w:t>
      </w:r>
    </w:p>
    <w:p>
      <w:pPr>
        <w:pStyle w:val="Normal"/>
      </w:pPr>
      <w:r>
        <w:rPr>
          <w:b/>
          <w:color w:val="C00000"/>
          <w:sz w:val="20"/>
        </w:rPr>
        <w:t>Lectura obligatoria: las implicaciones y cambios de PRD que siguen son propuestas derivadas de un escenario ficticio, no decisiones validadas.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8"/>
        <w:gridCol w:w="7322"/>
      </w:tblGrid>
      <w:tr>
        <w:trPr>
          <w:cantSplit/>
          <w:tblHeader/>
        </w:trPr>
        <w:tc>
          <w:tcPr>
            <w:tcW w:type="dxa" w:w="2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Sección del PRD</w:t>
            </w:r>
          </w:p>
        </w:tc>
        <w:tc>
          <w:tcPr>
            <w:tcW w:type="dxa" w:w="73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Cambio propuesto</w:t>
            </w:r>
          </w:p>
        </w:tc>
      </w:tr>
      <w:tr>
        <w:trPr>
          <w:cantSplit/>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Posicionamiento</w:t>
            </w:r>
          </w:p>
        </w:tc>
        <w:tc>
          <w:tcPr>
            <w:tcW w:type="dxa" w:w="73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De detector de pantallazos falsos a </w:t>
            </w:r>
            <w:r>
              <w:rPr>
                <w:rFonts w:ascii="Arial" w:cs="Arial" w:eastAsia="Arial" w:hAnsi="Arial"/>
                <w:b/>
                <w:bCs/>
                <w:sz w:val="18"/>
                <w:szCs w:val="18"/>
              </w:rPr>
              <w:t xml:space="preserve">confirmación compartida de pagos y libro diario multi-emisor</w:t>
            </w:r>
            <w:r>
              <w:rPr>
                <w:rFonts w:ascii="Arial" w:cs="Arial" w:eastAsia="Arial" w:hAnsi="Arial"/>
                <w:sz w:val="18"/>
                <w:szCs w:val="18"/>
              </w:rPr>
              <w:t xml:space="preserve"> para negocios con empleados</w:t>
            </w:r>
          </w:p>
        </w:tc>
      </w:tr>
      <w:tr>
        <w:trPr>
          <w:cantSplit/>
        </w:trPr>
        <w:tc>
          <w:tcPr>
            <w:tcW w:type="dxa" w:w="2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Usuario prioritario</w:t>
            </w:r>
          </w:p>
        </w:tc>
        <w:tc>
          <w:tcPr>
            <w:tcW w:type="dxa" w:w="732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Negocio pequeño con empleados que recibe pagos por varios emisores</w:t>
            </w:r>
          </w:p>
        </w:tc>
      </w:tr>
      <w:tr>
        <w:trPr>
          <w:cantSplit/>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Alcance del MVP</w:t>
            </w:r>
          </w:p>
        </w:tc>
        <w:tc>
          <w:tcPr>
            <w:tcW w:type="dxa" w:w="73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Rol de cajero con vista de confirmaciones sin acceso a la cuenta del dueño; libro diario unificado; detección de fraude como función secundaria</w:t>
            </w:r>
          </w:p>
        </w:tc>
      </w:tr>
      <w:tr>
        <w:trPr>
          <w:cantSplit/>
        </w:trPr>
        <w:tc>
          <w:tcPr>
            <w:tcW w:type="dxa" w:w="2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Captura de pagos (Q1)</w:t>
            </w:r>
          </w:p>
        </w:tc>
        <w:tc>
          <w:tcPr>
            <w:tcW w:type="dxa" w:w="732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Priorizar una vía que el usuario controle y que lea solo mensajes de pago; evaluar reenvío de correos antes que acceso completo al correo</w:t>
            </w:r>
          </w:p>
        </w:tc>
      </w:tr>
      <w:tr>
        <w:trPr>
          <w:cantSplit/>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Métricas</w:t>
            </w:r>
          </w:p>
        </w:tc>
        <w:tc>
          <w:tcPr>
            <w:tcW w:type="dxa" w:w="73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Agregar: tiempo de cuadre diario antes y después; porcentaje de cobros que el cajero confirma sin llamar al dueño</w:t>
            </w:r>
          </w:p>
        </w:tc>
      </w:tr>
      <w:tr>
        <w:trPr>
          <w:cantSplit/>
        </w:trPr>
        <w:tc>
          <w:tcPr>
            <w:tcW w:type="dxa" w:w="2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Riesgos</w:t>
            </w:r>
          </w:p>
        </w:tc>
        <w:tc>
          <w:tcPr>
            <w:tcW w:type="dxa" w:w="732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Subir el riesgo de privacidad (RK4) y el de dependencia de formatos (RK2)</w:t>
            </w:r>
          </w:p>
        </w:tc>
      </w:tr>
      <w:tr>
        <w:trPr>
          <w:cantSplit/>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Análisis de alternativas</w:t>
            </w:r>
          </w:p>
        </w:tc>
        <w:tc>
          <w:tcPr>
            <w:tcW w:type="dxa" w:w="73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Nueva sección: verificador de Nequi, alertas de Bancolombia, Bre-B y parlantes; qué cubren y qué no</w:t>
            </w:r>
          </w:p>
        </w:tc>
      </w:tr>
    </w:tbl>
    <w:p>
      <w:pPr>
        <w:spacing w:after="160"/>
      </w:pPr>
    </w:p>
    <w:p>
      <w:pPr>
        <w:pStyle w:val="Heading1"/>
      </w:pPr>
      <w:bookmarkStart w:name="bm6" w:id="7"/>
      <w:r>
        <w:rPr>
          <w:rFonts w:ascii="Arial" w:cs="Arial" w:eastAsia="Arial" w:hAnsi="Arial"/>
        </w:rPr>
        <w:t xml:space="preserve">7. Limitaciones y sesgos (aplican incluso a datos reales)</w:t>
      </w:r>
      <w:bookmarkEnd w:id="7"/>
    </w:p>
    <w:p>
      <w:pPr>
        <w:pStyle w:val="Normal"/>
      </w:pPr>
      <w:r>
        <w:rPr>
          <w:b/>
          <w:color w:val="C00000"/>
          <w:sz w:val="20"/>
        </w:rPr>
        <w:t>Por su carácter exclusivamente ficticio, este documento no permite inferir prevalencias, validar hipótesis ni representar la experiencia de clientes. La sustitución por campo real es obligatoria.</w:t>
      </w:r>
    </w:p>
    <w:p>
      <w:pPr>
        <w:pStyle w:val="ListParagraph"/>
        <w:numPr>
          <w:ilvl w:val="0"/>
          <w:numId w:val="2"/>
        </w:numPr>
        <w:spacing w:after="60" w:line="276"/>
      </w:pPr>
      <w:r>
        <w:rPr>
          <w:rFonts w:ascii="Arial" w:cs="Arial" w:eastAsia="Arial" w:hAnsi="Arial"/>
          <w:sz w:val="21"/>
          <w:szCs w:val="21"/>
        </w:rPr>
        <w:t xml:space="preserve">Muestra pequeña y por conveniencia, sin valor estadístico.</w:t>
      </w:r>
    </w:p>
    <w:p>
      <w:pPr>
        <w:pStyle w:val="ListParagraph"/>
        <w:numPr>
          <w:ilvl w:val="0"/>
          <w:numId w:val="2"/>
        </w:numPr>
        <w:spacing w:after="60" w:line="276"/>
      </w:pPr>
      <w:r>
        <w:rPr>
          <w:rFonts w:ascii="Arial" w:cs="Arial" w:eastAsia="Arial" w:hAnsi="Arial"/>
          <w:sz w:val="21"/>
          <w:szCs w:val="21"/>
        </w:rPr>
        <w:t xml:space="preserve">Sesgo de cortesía: la gente tiende a confirmar la hipótesis del entrevistador.</w:t>
      </w:r>
    </w:p>
    <w:p>
      <w:pPr>
        <w:pStyle w:val="ListParagraph"/>
        <w:numPr>
          <w:ilvl w:val="0"/>
          <w:numId w:val="2"/>
        </w:numPr>
        <w:spacing w:after="60" w:line="276"/>
      </w:pPr>
      <w:r>
        <w:rPr>
          <w:rFonts w:ascii="Arial" w:cs="Arial" w:eastAsia="Arial" w:hAnsi="Arial"/>
          <w:sz w:val="21"/>
          <w:szCs w:val="21"/>
        </w:rPr>
        <w:t xml:space="preserve">Lo que dicen que harían no es lo que harían; el piloto es la prueba real.</w:t>
      </w:r>
    </w:p>
    <w:p>
      <w:pPr>
        <w:pStyle w:val="ListParagraph"/>
        <w:numPr>
          <w:ilvl w:val="0"/>
          <w:numId w:val="2"/>
        </w:numPr>
        <w:spacing w:after="60" w:line="276"/>
      </w:pPr>
      <w:r>
        <w:rPr>
          <w:rFonts w:ascii="Arial" w:cs="Arial" w:eastAsia="Arial" w:hAnsi="Arial"/>
          <w:sz w:val="21"/>
          <w:szCs w:val="21"/>
        </w:rPr>
        <w:t xml:space="preserve">El panorama de los emisores (Nequi, Bancolombia, Bre-B) cambia rápido y hay que revisarlo antes de cada decisión.</w:t>
      </w:r>
    </w:p>
    <w:p>
      <w:pPr>
        <w:spacing w:after="60"/>
      </w:pPr>
    </w:p>
    <w:p>
      <w:pPr>
        <w:pStyle w:val="Heading1"/>
      </w:pPr>
      <w:bookmarkStart w:name="bm7" w:id="8"/>
      <w:r>
        <w:rPr>
          <w:rFonts w:ascii="Arial" w:cs="Arial" w:eastAsia="Arial" w:hAnsi="Arial"/>
        </w:rPr>
        <w:t xml:space="preserve">8. Qué reemplazar cuando haya entrevistas reales</w:t>
      </w:r>
      <w:bookmarkEnd w:id="8"/>
    </w:p>
    <w:p>
      <w:pPr>
        <w:pStyle w:val="Normal"/>
      </w:pPr>
      <w:r>
        <w:rPr>
          <w:b/>
          <w:color w:val="C00000"/>
          <w:sz w:val="20"/>
        </w:rPr>
        <w:t>Reemplazo obligatorio: el informe debe rehacerse con entrevistas realizadas y trazables antes de usarlo para decisiones de producto. Las cifras actuales solo sirven para ensayar el formato y generar hipótesis.</w:t>
      </w:r>
    </w:p>
    <w:p>
      <w:pPr>
        <w:spacing w:after="70" w:line="276"/>
        <w:ind w:left="360" w:hanging="360"/>
      </w:pPr>
      <w:r>
        <w:rPr>
          <w:rFonts w:ascii="Segoe UI Symbol" w:cs="Segoe UI Symbol" w:eastAsia="Segoe UI Symbol" w:hAnsi="Segoe UI Symbol"/>
          <w:sz w:val="21"/>
          <w:szCs w:val="21"/>
        </w:rPr>
        <w:t xml:space="preserve">☐  </w:t>
      </w:r>
      <w:r>
        <w:rPr>
          <w:rFonts w:ascii="Arial" w:cs="Arial" w:eastAsia="Arial" w:hAnsi="Arial"/>
          <w:sz w:val="21"/>
          <w:szCs w:val="21"/>
        </w:rPr>
        <w:t xml:space="preserve">Todas las cifras de la sección 2.</w:t>
      </w:r>
    </w:p>
    <w:p>
      <w:pPr>
        <w:spacing w:after="70" w:line="276"/>
        <w:ind w:left="360" w:hanging="360"/>
      </w:pPr>
      <w:r>
        <w:rPr>
          <w:rFonts w:ascii="Segoe UI Symbol" w:cs="Segoe UI Symbol" w:eastAsia="Segoe UI Symbol" w:hAnsi="Segoe UI Symbol"/>
          <w:sz w:val="21"/>
          <w:szCs w:val="21"/>
        </w:rPr>
        <w:t xml:space="preserve">☐  </w:t>
      </w:r>
      <w:r>
        <w:rPr>
          <w:rFonts w:ascii="Arial" w:cs="Arial" w:eastAsia="Arial" w:hAnsi="Arial"/>
          <w:sz w:val="21"/>
          <w:szCs w:val="21"/>
        </w:rPr>
        <w:t xml:space="preserve">Los hallazgos de la sección 3 y su orden de importancia.</w:t>
      </w:r>
    </w:p>
    <w:p>
      <w:pPr>
        <w:spacing w:after="70" w:line="276"/>
        <w:ind w:left="360" w:hanging="360"/>
      </w:pPr>
      <w:r>
        <w:rPr>
          <w:rFonts w:ascii="Segoe UI Symbol" w:cs="Segoe UI Symbol" w:eastAsia="Segoe UI Symbol" w:hAnsi="Segoe UI Symbol"/>
          <w:sz w:val="21"/>
          <w:szCs w:val="21"/>
        </w:rPr>
        <w:t xml:space="preserve">☐  </w:t>
      </w:r>
      <w:r>
        <w:rPr>
          <w:rFonts w:ascii="Arial" w:cs="Arial" w:eastAsia="Arial" w:hAnsi="Arial"/>
          <w:sz w:val="21"/>
          <w:szCs w:val="21"/>
        </w:rPr>
        <w:t xml:space="preserve">La segmentación y la decisión de la sección 5.</w:t>
      </w:r>
    </w:p>
    <w:p>
      <w:pPr>
        <w:spacing w:after="70" w:line="276"/>
        <w:ind w:left="360" w:hanging="360"/>
      </w:pPr>
      <w:r>
        <w:rPr>
          <w:rFonts w:ascii="Segoe UI Symbol" w:cs="Segoe UI Symbol" w:eastAsia="Segoe UI Symbol" w:hAnsi="Segoe UI Symbol"/>
          <w:sz w:val="21"/>
          <w:szCs w:val="21"/>
        </w:rPr>
        <w:t xml:space="preserve">☐  </w:t>
      </w:r>
      <w:r>
        <w:rPr>
          <w:rFonts w:ascii="Arial" w:cs="Arial" w:eastAsia="Arial" w:hAnsi="Arial"/>
          <w:sz w:val="21"/>
          <w:szCs w:val="21"/>
        </w:rPr>
        <w:t xml:space="preserve">Las implicaciones del PRD de la sección 6; cualquier cambio ya aplicado debe revisarse.</w:t>
      </w:r>
    </w:p>
    <w:p>
      <w:pPr>
        <w:spacing w:after="70" w:line="276"/>
        <w:ind w:left="360" w:hanging="360"/>
      </w:pPr>
      <w:r>
        <w:rPr>
          <w:rFonts w:ascii="Segoe UI Symbol" w:cs="Segoe UI Symbol" w:eastAsia="Segoe UI Symbol" w:hAnsi="Segoe UI Symbol"/>
          <w:sz w:val="21"/>
          <w:szCs w:val="21"/>
        </w:rPr>
        <w:t xml:space="preserve">☐  </w:t>
      </w:r>
      <w:r>
        <w:rPr>
          <w:rFonts w:ascii="Arial" w:cs="Arial" w:eastAsia="Arial" w:hAnsi="Arial"/>
          <w:sz w:val="21"/>
          <w:szCs w:val="21"/>
        </w:rPr>
        <w:t xml:space="preserve">Quitar el aviso del encabezado solo cuando todo lo anterior esté sustituido por datos reales.</w:t>
      </w:r>
    </w:p>
    <w:p>
      <w:pPr>
        <w:pStyle w:val="Heading1"/>
      </w:pPr>
      <w:r>
        <w:t>9. Glosario..............................................................................................................................6</w:t>
      </w:r>
    </w:p>
    <w:p>
      <w:pPr>
        <w:pStyle w:val="Normal"/>
      </w:pPr>
      <w:r>
        <w:rPr>
          <w:rFonts w:ascii="Aptos" w:hAnsi="Aptos"/>
          <w:sz w:val="22"/>
        </w:rPr>
        <w:t>CNF: prefijo histórico de los identificadores documentales heredados de Confirma; se conserva por trazabilidad, aunque la marca visible y vigente del proyecto sea Chulito.</w:t>
      </w:r>
    </w:p>
    <w:sectPr>
      <w:headerReference w:type="default" r:id="rId7"/>
      <w:footerReference w:type="default" r:id="rId8"/>
      <w:pgSz w:w="12240" w:h="15840"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tabs>
        <w:tab w:val="right" w:pos="9360"/>
      </w:tabs>
    </w:pPr>
    <w:r>
      <w:rPr>
        <w:rFonts w:ascii="Arial" w:cs="Arial" w:eastAsia="Arial" w:hAnsi="Arial"/>
        <w:color w:val="595959"/>
        <w:sz w:val="16"/>
        <w:szCs w:val="16"/>
      </w:rPr>
      <w:t>Uso interno · Escenario simulado · revisión documental v0.2</w:t>
    </w:r>
    <w:r>
      <w:rPr>
        <w:rFonts w:ascii="Arial" w:cs="Arial" w:eastAsia="Arial" w:hAnsi="Arial"/>
        <w:color w:val="595959"/>
        <w:sz w:val="16"/>
        <w:szCs w:val="16"/>
      </w:rPr>
      <w:tab/>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4"/>
      </w:pBdr>
      <w:tabs>
        <w:tab w:val="right" w:pos="9360"/>
      </w:tabs>
      <w:spacing w:after="40"/>
    </w:pPr>
    <w:r>
      <w:rPr>
        <w:rFonts w:ascii="Arial" w:cs="Arial" w:eastAsia="Arial" w:hAnsi="Arial"/>
        <w:color w:val="595959"/>
        <w:sz w:val="16"/>
        <w:szCs w:val="16"/>
      </w:rPr>
      <w:t>Chulito — Hallazgos de descubrimiento (S-0.1)</w:t>
      <w:tab/>
      <w:t>CNF-HAL-001-S  ·  v0.2</w:t>
    </w:r>
    <w:r>
      <w:rPr>
        <w:rFonts w:ascii="Arial" w:cs="Arial" w:eastAsia="Arial" w:hAnsi="Arial"/>
        <w:color w:val="595959"/>
        <w:sz w:val="16"/>
        <w:szCs w:val="16"/>
      </w:rPr>
    </w:r>
  </w:p>
  <w:p>
    <w:pPr>
      <w:spacing w:after="100"/>
      <w:jc w:val="center"/>
    </w:pPr>
    <w:r>
      <w:rPr>
        <w:rFonts w:ascii="Arial" w:cs="Arial" w:eastAsia="Arial" w:hAnsi="Arial"/>
        <w:b/>
        <w:bCs/>
        <w:color w:val="C00000"/>
        <w:sz w:val="16"/>
        <w:szCs w:val="16"/>
      </w:rPr>
      <w:t>S-0.1 es un escenario simulado, no resultados de entrevistas realizadas.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F5496" w:sz="6" w:space="3"/>
      </w:pBdr>
      <w:spacing w:after="14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F5496"/>
      <w:sz w:val="25"/>
      <w:szCs w:val="25"/>
    </w:rPr>
  </w:style>
  <w:style w:type="paragraph" w:styleId="FrontH">
    <w:name w:val="Front Heading"/>
    <w:basedOn w:val="Normal"/>
    <w:next w:val="Normal"/>
    <w:pPr>
      <w:keepNext/>
      <w:pBdr>
        <w:bottom w:val="single" w:color="2F5496" w:sz="6" w:space="3"/>
      </w:pBdr>
      <w:spacing w:after="160" w:before="0"/>
    </w:pPr>
    <w:rPr>
      <w:rFonts w:ascii="Arial" w:cs="Arial" w:eastAsia="Arial" w:hAnsi="Arial"/>
      <w:b/>
      <w:bCs/>
      <w:color w:val="1F3864"/>
      <w:sz w:val="30"/>
      <w:szCs w:val="30"/>
    </w:rPr>
  </w:style>
  <w:style w:type="paragraph" w:styleId="FrontS">
    <w:name w:val="Front Sub"/>
    <w:basedOn w:val="Normal"/>
    <w:next w:val="Normal"/>
    <w:pPr>
      <w:keepNext/>
      <w:spacing w:after="100" w:before="220"/>
    </w:pPr>
    <w:rPr>
      <w:rFonts w:ascii="Arial" w:cs="Arial" w:eastAsia="Arial" w:hAnsi="Arial"/>
      <w:b/>
      <w:bCs/>
      <w:color w:val="2F549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Chulito — Hallazgos de descubrimiento S-0.1 — revisión v0.2</dc:title>
  <dc:creator>Edwin Carabalí</dc:creator>
  <dc:description>Actualización documental para Chulito; códigos CNF conservados por trazabilidad histórica.</dc:description>
  <cp:lastModifiedBy>Un-named</cp:lastModifiedBy>
  <cp:revision>1</cp:revision>
  <dcterms:created xsi:type="dcterms:W3CDTF">2026-10-12T01:03:21.114Z</dcterms:created>
  <dcterms:modified xsi:type="dcterms:W3CDTF">2026-10-12T01:03:21.114Z</dcterms:modified>
  <dc:subject>Escenario simulado exclusivamente ficticio; no resultados de entrevistas realizadas</dc:subject>
  <cp:keywords>Chulito, CNF-HAL-001-S, S-0.1, escenario simulado, hipótesis</cp:keywords>
</cp:coreProperties>
</file>

<file path=docProps/custom.xml><?xml version="1.0" encoding="utf-8"?>
<Properties xmlns="http://schemas.openxmlformats.org/officeDocument/2006/custom-properties" xmlns:vt="http://schemas.openxmlformats.org/officeDocument/2006/docPropsVTypes"/>
</file>