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640"/>
      </w:tblGrid>
      <w:tr>
        <w:tc>
          <w:tcPr>
            <w:tcW w:type="dxa" w:w="8640"/>
            <w:shd w:fill="1F4E79"/>
            <w:vAlign w:val="top"/>
            <w:tcMar>
              <w:top w:w="70" w:type="dxa"/>
              <w:start w:w="90" w:type="dxa"/>
              <w:bottom w:w="70" w:type="dxa"/>
              <w:end w:w="90" w:type="dxa"/>
            </w:tcMar>
          </w:tcPr>
          <w:p>
            <w:pPr>
              <w:spacing w:after="20" w:line="240" w:lineRule="auto"/>
              <w:jc w:val="center"/>
            </w:pPr>
            <w:r/>
            <w:r>
              <w:rPr>
                <w:rFonts w:ascii="Liberation Sans" w:hAnsi="Liberation Sans"/>
                <w:b/>
                <w:color w:val="FFFFFF"/>
                <w:sz w:val="21"/>
              </w:rPr>
              <w:t>DOCUMENTO DE REQUISITOS DEL PRODUCTO (PRD)</w:t>
            </w:r>
          </w:p>
        </w:tc>
      </w:tr>
    </w:tbl>
    <w:p>
      <w:pPr>
        <w:spacing w:after="80"/>
        <w:jc w:val="center"/>
      </w:pPr>
      <w:r>
        <w:rPr>
          <w:rFonts w:ascii="Liberation Sans" w:hAnsi="Liberation Sans"/>
          <w:b/>
          <w:i w:val="0"/>
          <w:color w:val="1F4E79"/>
          <w:sz w:val="60"/>
        </w:rPr>
        <w:t>CHULITO</w:t>
      </w:r>
    </w:p>
    <w:p>
      <w:pPr>
        <w:spacing w:after="280"/>
        <w:jc w:val="center"/>
      </w:pPr>
      <w:r>
        <w:rPr>
          <w:rFonts w:ascii="Liberation Sans" w:hAnsi="Liberation Sans"/>
          <w:b/>
          <w:i w:val="0"/>
          <w:color w:val="17365D"/>
          <w:sz w:val="32"/>
        </w:rPr>
        <w:t>Fase 0 — Definición del producto</w:t>
      </w:r>
    </w:p>
    <w:p>
      <w:pPr>
        <w:spacing w:after="280"/>
        <w:jc w:val="center"/>
      </w:pPr>
      <w:r>
        <w:rPr>
          <w:rFonts w:ascii="Liberation Sans" w:hAnsi="Liberation Sans"/>
          <w:b w:val="0"/>
          <w:i w:val="0"/>
          <w:color w:val="6B7280"/>
          <w:sz w:val="24"/>
        </w:rPr>
        <w:t>Visión y alcance · borrador para revisión</w:t>
      </w:r>
    </w:p>
    <w:tbl>
      <w:tblPr>
        <w:tblW w:type="auto" w:w="0"/>
        <w:jc w:val="center"/>
        <w:tblLayout w:type="autofit"/>
        <w:tblLook w:firstColumn="1" w:firstRow="1" w:lastColumn="0" w:lastRow="0" w:noHBand="0" w:noVBand="1" w:val="04A0"/>
      </w:tblPr>
      <w:tblGrid>
        <w:gridCol w:w="8640"/>
      </w:tblGrid>
      <w:tr>
        <w:tc>
          <w:tcPr>
            <w:tcW w:type="dxa" w:w="8640"/>
            <w:shd w:fill="FFF2CC"/>
            <w:vAlign w:val="top"/>
            <w:tcMar>
              <w:top w:w="70" w:type="dxa"/>
              <w:start w:w="90" w:type="dxa"/>
              <w:bottom w:w="70" w:type="dxa"/>
              <w:end w:w="90" w:type="dxa"/>
            </w:tcMar>
          </w:tcPr>
          <w:p>
            <w:pPr>
              <w:spacing w:after="20" w:line="240" w:lineRule="auto"/>
            </w:pPr>
            <w:r/>
            <w:r>
              <w:rPr>
                <w:rFonts w:ascii="Liberation Sans" w:hAnsi="Liberation Sans"/>
                <w:b w:val="0"/>
                <w:color w:val="374151"/>
                <w:sz w:val="18"/>
              </w:rPr>
              <w:t>AVISO DE EVIDENCIA: S-0.1 es un escenario simulado, no resultados de entrevistas realizadas.</w:t>
            </w:r>
          </w:p>
        </w:tc>
      </w:tr>
    </w:tbl>
    <w:p>
      <w:pPr>
        <w:spacing w:after="40"/>
      </w:pPr>
    </w:p>
    <w:p>
      <w:pPr>
        <w:spacing w:before="160" w:after="200"/>
        <w:jc w:val="center"/>
      </w:pPr>
      <w:r>
        <w:rPr>
          <w:rFonts w:ascii="Liberation Sans" w:hAnsi="Liberation Sans"/>
          <w:b/>
          <w:i w:val="0"/>
          <w:color w:val="17365D"/>
          <w:sz w:val="28"/>
        </w:rPr>
        <w:t>Hipótesis provisional de servicio multi-emisor</w:t>
      </w:r>
    </w:p>
    <w:p>
      <w:pPr>
        <w:spacing w:after="300"/>
        <w:jc w:val="center"/>
      </w:pPr>
      <w:r>
        <w:rPr>
          <w:rFonts w:ascii="Liberation Sans" w:hAnsi="Liberation Sans"/>
          <w:b w:val="0"/>
          <w:i w:val="0"/>
          <w:color w:val="374151"/>
          <w:sz w:val="21"/>
        </w:rPr>
        <w:t>Una vista de confirmaciones para el cajero, sin exponer la cuenta financiera del titular, y un libro diario unificado. La detección de pagos dudosos es una función secundaria, no la propuesta principal.</w:t>
      </w:r>
    </w:p>
    <w:tbl>
      <w:tblPr>
        <w:tblStyle w:val="TableGrid"/>
        <w:tblW w:type="auto" w:w="0"/>
        <w:jc w:val="center"/>
        <w:tblLayout w:type="fixed"/>
        <w:tblLook w:firstColumn="1" w:firstRow="1" w:lastColumn="0" w:lastRow="0" w:noHBand="0" w:noVBand="1" w:val="04A0"/>
      </w:tblPr>
      <w:tblGrid>
        <w:gridCol w:w="4320"/>
        <w:gridCol w:w="4320"/>
      </w:tblGrid>
      <w:tr>
        <w:trPr>
          <w:tblHeader w:val="true"/>
        </w:trPr>
        <w:tc>
          <w:tcPr>
            <w:tcW w:type="dxa" w:w="2448"/>
            <w:shd w:fill="17365D"/>
            <w:vAlign w:val="top"/>
            <w:tcMar>
              <w:top w:w="70" w:type="dxa"/>
              <w:start w:w="90" w:type="dxa"/>
              <w:bottom w:w="70" w:type="dxa"/>
              <w:end w:w="90" w:type="dxa"/>
            </w:tcMar>
          </w:tcPr>
          <w:p>
            <w:pPr>
              <w:spacing w:after="20" w:line="240" w:lineRule="auto"/>
            </w:pPr>
            <w:r/>
            <w:r>
              <w:rPr>
                <w:rFonts w:ascii="Liberation Sans" w:hAnsi="Liberation Sans"/>
                <w:b/>
                <w:color w:val="FFFFFF"/>
                <w:sz w:val="18"/>
              </w:rPr>
              <w:t>Campo</w:t>
            </w:r>
          </w:p>
        </w:tc>
        <w:tc>
          <w:tcPr>
            <w:tcW w:type="dxa" w:w="8063"/>
            <w:shd w:fill="17365D"/>
            <w:vAlign w:val="top"/>
            <w:tcMar>
              <w:top w:w="70" w:type="dxa"/>
              <w:start w:w="90" w:type="dxa"/>
              <w:bottom w:w="70" w:type="dxa"/>
              <w:end w:w="90" w:type="dxa"/>
            </w:tcMar>
          </w:tcPr>
          <w:p>
            <w:pPr>
              <w:spacing w:after="20" w:line="240" w:lineRule="auto"/>
            </w:pPr>
            <w:r/>
            <w:r>
              <w:rPr>
                <w:rFonts w:ascii="Liberation Sans" w:hAnsi="Liberation Sans"/>
                <w:b/>
                <w:color w:val="FFFFFF"/>
                <w:sz w:val="18"/>
              </w:rPr>
              <w:t>Valor</w:t>
            </w:r>
          </w:p>
        </w:tc>
      </w:tr>
      <w:tr>
        <w:trPr>
          <w:cantSplit/>
        </w:trPr>
        <w:tc>
          <w:tcPr>
            <w:tcW w:type="dxa" w:w="2448"/>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Código histórico</w:t>
            </w:r>
          </w:p>
        </w:tc>
        <w:tc>
          <w:tcPr>
            <w:tcW w:type="dxa" w:w="8063"/>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CNF-PRD-001</w:t>
            </w:r>
          </w:p>
        </w:tc>
      </w:tr>
      <w:tr>
        <w:trPr>
          <w:cantSplit/>
        </w:trPr>
        <w:tc>
          <w:tcPr>
            <w:tcW w:type="dxa" w:w="2448"/>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Versión</w:t>
            </w:r>
          </w:p>
        </w:tc>
        <w:tc>
          <w:tcPr>
            <w:tcW w:type="dxa" w:w="8063"/>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0.4</w:t>
            </w:r>
          </w:p>
        </w:tc>
      </w:tr>
      <w:tr>
        <w:trPr>
          <w:cantSplit/>
        </w:trPr>
        <w:tc>
          <w:tcPr>
            <w:tcW w:type="dxa" w:w="2448"/>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Fecha</w:t>
            </w:r>
          </w:p>
        </w:tc>
        <w:tc>
          <w:tcPr>
            <w:tcW w:type="dxa" w:w="8063"/>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17-oct-2026</w:t>
            </w:r>
          </w:p>
        </w:tc>
      </w:tr>
      <w:tr>
        <w:trPr>
          <w:cantSplit/>
        </w:trPr>
        <w:tc>
          <w:tcPr>
            <w:tcW w:type="dxa" w:w="2448"/>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Autor</w:t>
            </w:r>
          </w:p>
        </w:tc>
        <w:tc>
          <w:tcPr>
            <w:tcW w:type="dxa" w:w="8063"/>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Edwin Carabalí</w:t>
            </w:r>
          </w:p>
        </w:tc>
      </w:tr>
      <w:tr>
        <w:trPr>
          <w:cantSplit/>
        </w:trPr>
        <w:tc>
          <w:tcPr>
            <w:tcW w:type="dxa" w:w="2448"/>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Estado</w:t>
            </w:r>
          </w:p>
        </w:tc>
        <w:tc>
          <w:tcPr>
            <w:tcW w:type="dxa" w:w="8063"/>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Draft / Borrador para revisión; hipótesis y decisiones pendientes</w:t>
            </w:r>
          </w:p>
        </w:tc>
      </w:tr>
      <w:tr>
        <w:trPr>
          <w:cantSplit/>
        </w:trPr>
        <w:tc>
          <w:tcPr>
            <w:tcW w:type="dxa" w:w="2448"/>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Trazabilidad</w:t>
            </w:r>
          </w:p>
        </w:tc>
        <w:tc>
          <w:tcPr>
            <w:tcW w:type="dxa" w:w="8063"/>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SRS CNF-SRS-001 v0.4 (documento relacionado)</w:t>
            </w:r>
          </w:p>
        </w:tc>
      </w:tr>
      <w:tr>
        <w:trPr>
          <w:cantSplit/>
        </w:trPr>
        <w:tc>
          <w:tcPr>
            <w:tcW w:type="dxa" w:w="2448"/>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Clasificación</w:t>
            </w:r>
          </w:p>
        </w:tc>
        <w:tc>
          <w:tcPr>
            <w:tcW w:type="dxa" w:w="8063"/>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Interno — borrador de trabajo</w:t>
            </w:r>
          </w:p>
        </w:tc>
      </w:tr>
      <w:tr>
        <w:trPr>
          <w:cantSplit/>
        </w:trPr>
        <w:tc>
          <w:tcPr>
            <w:tcW w:type="dxa" w:w="2448"/>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Referencia metodológica</w:t>
            </w:r>
          </w:p>
        </w:tc>
        <w:tc>
          <w:tcPr>
            <w:tcW w:type="dxa" w:w="8063"/>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Prácticas seleccionadas orientadas por ISO/IEC/IEEE 29148:2018; sin declaración de conformidad</w:t>
            </w:r>
          </w:p>
        </w:tc>
      </w:tr>
      <w:tr>
        <w:trPr>
          <w:cantSplit/>
        </w:trPr>
        <w:tc>
          <w:tcPr>
            <w:tcW w:type="dxa" w:w="2448"/>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Idioma</w:t>
            </w:r>
          </w:p>
        </w:tc>
        <w:tc>
          <w:tcPr>
            <w:tcW w:type="dxa" w:w="8063"/>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Español (Colombia)</w:t>
            </w:r>
          </w:p>
        </w:tc>
      </w:tr>
    </w:tbl>
    <w:p>
      <w:pPr>
        <w:spacing w:after="20"/>
      </w:pPr>
    </w:p>
    <w:p>
      <w:pPr>
        <w:spacing w:before="200" w:after="40"/>
        <w:jc w:val="center"/>
      </w:pPr>
      <w:r>
        <w:rPr>
          <w:rFonts w:ascii="Liberation Sans" w:hAnsi="Liberation Sans"/>
          <w:b w:val="0"/>
          <w:i/>
          <w:color w:val="6B7280"/>
          <w:sz w:val="18"/>
        </w:rPr>
        <w:t>Documento vivo · cada cambio debe subir la versión y quedar registrado en el historial.</w:t>
      </w:r>
    </w:p>
    <w:p>
      <w:r>
        <w:br w:type="page"/>
      </w:r>
    </w:p>
    <w:p>
      <w:pPr>
        <w:pStyle w:val="Heading1"/>
      </w:pPr>
      <w:r>
        <w:rPr>
          <w:rFonts w:ascii="Liberation Sans" w:hAnsi="Liberation Sans"/>
          <w:b/>
          <w:i w:val="0"/>
          <w:color w:val="1F4E79"/>
        </w:rPr>
        <w:t>Control del documento</w:t>
      </w:r>
    </w:p>
    <w:tbl>
      <w:tblPr>
        <w:tblStyle w:val="TableGrid"/>
        <w:tblW w:type="auto" w:w="0"/>
        <w:jc w:val="center"/>
        <w:tblLayout w:type="fixed"/>
        <w:tblLook w:firstColumn="1" w:firstRow="1" w:lastColumn="0" w:lastRow="0" w:noHBand="0" w:noVBand="1" w:val="04A0"/>
      </w:tblPr>
      <w:tblGrid>
        <w:gridCol w:w="4320"/>
        <w:gridCol w:w="4320"/>
      </w:tblGrid>
      <w:tr>
        <w:trPr>
          <w:tblHeader w:val="true"/>
        </w:trPr>
        <w:tc>
          <w:tcPr>
            <w:tcW w:type="dxa" w:w="2448"/>
            <w:shd w:fill="17365D"/>
            <w:vAlign w:val="top"/>
            <w:tcMar>
              <w:top w:w="70" w:type="dxa"/>
              <w:start w:w="90" w:type="dxa"/>
              <w:bottom w:w="70" w:type="dxa"/>
              <w:end w:w="90" w:type="dxa"/>
            </w:tcMar>
          </w:tcPr>
          <w:p>
            <w:pPr>
              <w:spacing w:after="20" w:line="240" w:lineRule="auto"/>
            </w:pPr>
            <w:r/>
            <w:r>
              <w:rPr>
                <w:rFonts w:ascii="Liberation Sans" w:hAnsi="Liberation Sans"/>
                <w:b/>
                <w:color w:val="FFFFFF"/>
                <w:sz w:val="18"/>
              </w:rPr>
              <w:t>Campo</w:t>
            </w:r>
          </w:p>
        </w:tc>
        <w:tc>
          <w:tcPr>
            <w:tcW w:type="dxa" w:w="8063"/>
            <w:shd w:fill="17365D"/>
            <w:vAlign w:val="top"/>
            <w:tcMar>
              <w:top w:w="70" w:type="dxa"/>
              <w:start w:w="90" w:type="dxa"/>
              <w:bottom w:w="70" w:type="dxa"/>
              <w:end w:w="90" w:type="dxa"/>
            </w:tcMar>
          </w:tcPr>
          <w:p>
            <w:pPr>
              <w:spacing w:after="20" w:line="240" w:lineRule="auto"/>
            </w:pPr>
            <w:r/>
            <w:r>
              <w:rPr>
                <w:rFonts w:ascii="Liberation Sans" w:hAnsi="Liberation Sans"/>
                <w:b/>
                <w:color w:val="FFFFFF"/>
                <w:sz w:val="18"/>
              </w:rPr>
              <w:t>Valor</w:t>
            </w:r>
          </w:p>
        </w:tc>
      </w:tr>
      <w:tr>
        <w:trPr>
          <w:cantSplit/>
        </w:trPr>
        <w:tc>
          <w:tcPr>
            <w:tcW w:type="dxa" w:w="2448"/>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Código</w:t>
            </w:r>
          </w:p>
        </w:tc>
        <w:tc>
          <w:tcPr>
            <w:tcW w:type="dxa" w:w="8063"/>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CNF-PRD-001 (clave histórica conservada)</w:t>
            </w:r>
          </w:p>
        </w:tc>
      </w:tr>
      <w:tr>
        <w:trPr>
          <w:cantSplit/>
        </w:trPr>
        <w:tc>
          <w:tcPr>
            <w:tcW w:type="dxa" w:w="2448"/>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Título</w:t>
            </w:r>
          </w:p>
        </w:tc>
        <w:tc>
          <w:tcPr>
            <w:tcW w:type="dxa" w:w="8063"/>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Documento de requisitos del producto (PRD) — Chulito</w:t>
            </w:r>
          </w:p>
        </w:tc>
      </w:tr>
      <w:tr>
        <w:trPr>
          <w:cantSplit/>
        </w:trPr>
        <w:tc>
          <w:tcPr>
            <w:tcW w:type="dxa" w:w="2448"/>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Proyecto / marca visible</w:t>
            </w:r>
          </w:p>
        </w:tc>
        <w:tc>
          <w:tcPr>
            <w:tcW w:type="dxa" w:w="8063"/>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Chulito (antes Confirma; CNF se mantiene como prefijo histórico)</w:t>
            </w:r>
          </w:p>
        </w:tc>
      </w:tr>
      <w:tr>
        <w:trPr>
          <w:cantSplit/>
        </w:trPr>
        <w:tc>
          <w:tcPr>
            <w:tcW w:type="dxa" w:w="2448"/>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Versión vigente</w:t>
            </w:r>
          </w:p>
        </w:tc>
        <w:tc>
          <w:tcPr>
            <w:tcW w:type="dxa" w:w="8063"/>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0.4</w:t>
            </w:r>
          </w:p>
        </w:tc>
      </w:tr>
      <w:tr>
        <w:trPr>
          <w:cantSplit/>
        </w:trPr>
        <w:tc>
          <w:tcPr>
            <w:tcW w:type="dxa" w:w="2448"/>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Fecha vigente</w:t>
            </w:r>
          </w:p>
        </w:tc>
        <w:tc>
          <w:tcPr>
            <w:tcW w:type="dxa" w:w="8063"/>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17-oct-2026</w:t>
            </w:r>
          </w:p>
        </w:tc>
      </w:tr>
      <w:tr>
        <w:trPr>
          <w:cantSplit/>
        </w:trPr>
        <w:tc>
          <w:tcPr>
            <w:tcW w:type="dxa" w:w="2448"/>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Estado</w:t>
            </w:r>
          </w:p>
        </w:tc>
        <w:tc>
          <w:tcPr>
            <w:tcW w:type="dxa" w:w="8063"/>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Draft / Borrador para revisión; hipótesis y decisiones pendientes</w:t>
            </w:r>
          </w:p>
        </w:tc>
      </w:tr>
      <w:tr>
        <w:trPr>
          <w:cantSplit/>
        </w:trPr>
        <w:tc>
          <w:tcPr>
            <w:tcW w:type="dxa" w:w="2448"/>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Clasificación</w:t>
            </w:r>
          </w:p>
        </w:tc>
        <w:tc>
          <w:tcPr>
            <w:tcW w:type="dxa" w:w="8063"/>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Interno — borrador de trabajo</w:t>
            </w:r>
          </w:p>
        </w:tc>
      </w:tr>
      <w:tr>
        <w:trPr>
          <w:cantSplit/>
        </w:trPr>
        <w:tc>
          <w:tcPr>
            <w:tcW w:type="dxa" w:w="2448"/>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Referencia metodológica</w:t>
            </w:r>
          </w:p>
        </w:tc>
        <w:tc>
          <w:tcPr>
            <w:tcW w:type="dxa" w:w="8063"/>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Visión y alcance; prácticas seleccionadas de ISO/IEC/IEEE 29148:2018; sin declaración de conformidad</w:t>
            </w:r>
          </w:p>
        </w:tc>
      </w:tr>
      <w:tr>
        <w:trPr>
          <w:cantSplit/>
        </w:trPr>
        <w:tc>
          <w:tcPr>
            <w:tcW w:type="dxa" w:w="2448"/>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Documento relacionado</w:t>
            </w:r>
          </w:p>
        </w:tc>
        <w:tc>
          <w:tcPr>
            <w:tcW w:type="dxa" w:w="8063"/>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SRS CNF-SRS-001 v0.4; trazabilidad candidata, no sustitución del SRS</w:t>
            </w:r>
          </w:p>
        </w:tc>
      </w:tr>
      <w:tr>
        <w:trPr>
          <w:cantSplit/>
        </w:trPr>
        <w:tc>
          <w:tcPr>
            <w:tcW w:type="dxa" w:w="2448"/>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Idioma</w:t>
            </w:r>
          </w:p>
        </w:tc>
        <w:tc>
          <w:tcPr>
            <w:tcW w:type="dxa" w:w="8063"/>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Español (Colombia)</w:t>
            </w:r>
          </w:p>
        </w:tc>
      </w:tr>
    </w:tbl>
    <w:p>
      <w:pPr>
        <w:spacing w:after="20"/>
      </w:pPr>
    </w:p>
    <w:p>
      <w:pPr>
        <w:pStyle w:val="Heading2"/>
      </w:pPr>
      <w:r>
        <w:rPr>
          <w:rFonts w:ascii="Liberation Sans" w:hAnsi="Liberation Sans"/>
          <w:b/>
          <w:i w:val="0"/>
          <w:color w:val="17365D"/>
        </w:rPr>
        <w:t>Historial de revisiones</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tblHeader w:val="true"/>
        </w:trPr>
        <w:tc>
          <w:tcPr>
            <w:tcW w:type="dxa" w:w="1007"/>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7"/>
              </w:rPr>
              <w:t>Versión</w:t>
            </w:r>
          </w:p>
        </w:tc>
        <w:tc>
          <w:tcPr>
            <w:tcW w:type="dxa" w:w="1440"/>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7"/>
              </w:rPr>
              <w:t>Fecha</w:t>
            </w:r>
          </w:p>
        </w:tc>
        <w:tc>
          <w:tcPr>
            <w:tcW w:type="dxa" w:w="1728"/>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7"/>
              </w:rPr>
              <w:t>Autor</w:t>
            </w:r>
          </w:p>
        </w:tc>
        <w:tc>
          <w:tcPr>
            <w:tcW w:type="dxa" w:w="6336"/>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7"/>
              </w:rPr>
              <w:t>Descripción del cambio</w:t>
            </w:r>
          </w:p>
        </w:tc>
      </w:tr>
      <w:tr>
        <w:trPr>
          <w:cantSplit/>
        </w:trPr>
        <w:tc>
          <w:tcPr>
            <w:tcW w:type="dxa" w:w="1007"/>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0.1</w:t>
            </w:r>
          </w:p>
        </w:tc>
        <w:tc>
          <w:tcPr>
            <w:tcW w:type="dxa" w:w="144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11-oct-2026</w:t>
            </w:r>
          </w:p>
        </w:tc>
        <w:tc>
          <w:tcPr>
            <w:tcW w:type="dxa" w:w="1728"/>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Edwin Carabalí</w:t>
            </w:r>
          </w:p>
        </w:tc>
        <w:tc>
          <w:tcPr>
            <w:tcW w:type="dxa" w:w="6336"/>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Primer borrador con hipótesis sin validar (reemplazada).</w:t>
            </w:r>
          </w:p>
        </w:tc>
      </w:tr>
      <w:tr>
        <w:trPr>
          <w:cantSplit/>
        </w:trPr>
        <w:tc>
          <w:tcPr>
            <w:tcW w:type="dxa" w:w="1007"/>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0.2</w:t>
            </w:r>
          </w:p>
        </w:tc>
        <w:tc>
          <w:tcPr>
            <w:tcW w:type="dxa" w:w="1440"/>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11-oct-2026</w:t>
            </w:r>
          </w:p>
        </w:tc>
        <w:tc>
          <w:tcPr>
            <w:tcW w:type="dxa" w:w="1728"/>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Edwin Carabalí</w:t>
            </w:r>
          </w:p>
        </w:tc>
        <w:tc>
          <w:tcPr>
            <w:tcW w:type="dxa" w:w="6336"/>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Alcance replanteado según el informe S-0.1; análisis inicial de alternativas.</w:t>
            </w:r>
          </w:p>
        </w:tc>
      </w:tr>
      <w:tr>
        <w:trPr>
          <w:cantSplit/>
        </w:trPr>
        <w:tc>
          <w:tcPr>
            <w:tcW w:type="dxa" w:w="1007"/>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0.3</w:t>
            </w:r>
          </w:p>
        </w:tc>
        <w:tc>
          <w:tcPr>
            <w:tcW w:type="dxa" w:w="144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12-oct-2026</w:t>
            </w:r>
          </w:p>
        </w:tc>
        <w:tc>
          <w:tcPr>
            <w:tcW w:type="dxa" w:w="1728"/>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Edwin Carabalí</w:t>
            </w:r>
          </w:p>
        </w:tc>
        <w:tc>
          <w:tcPr>
            <w:tcW w:type="dxa" w:w="6336"/>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PRD de visión y alcance reforzado con IDs, trazabilidad, criterios de validación, estado de borrador y referencia metodológica a ISO/IEC/IEEE 29148:2018.</w:t>
            </w:r>
          </w:p>
        </w:tc>
      </w:tr>
      <w:tr>
        <w:trPr>
          <w:cantSplit/>
        </w:trPr>
        <w:tc>
          <w:tcPr>
            <w:tcW w:type="dxa" w:w="1007"/>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0.4</w:t>
            </w:r>
          </w:p>
        </w:tc>
        <w:tc>
          <w:tcPr>
            <w:tcW w:type="dxa" w:w="1440"/>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17-oct-2026</w:t>
            </w:r>
          </w:p>
        </w:tc>
        <w:tc>
          <w:tcPr>
            <w:tcW w:type="dxa" w:w="1728"/>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Edwin Carabalí</w:t>
            </w:r>
          </w:p>
        </w:tc>
        <w:tc>
          <w:tcPr>
            <w:tcW w:type="dxa" w:w="6336"/>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Marca visible actualizada a Chulito; posicionamiento provisional multi-emisor; vista para cajero sin exponer la cuenta del titular; fraude relegado a función secundaria; alternativas contrastadas con evidencia pública revisada; registro de fuentes y trazabilidad a SRS CNF-SRS-001 v0.4.</w:t>
            </w:r>
          </w:p>
        </w:tc>
      </w:tr>
    </w:tbl>
    <w:p>
      <w:pPr>
        <w:spacing w:after="20"/>
      </w:pPr>
    </w:p>
    <w:p>
      <w:pPr>
        <w:pStyle w:val="Heading2"/>
      </w:pPr>
      <w:r>
        <w:rPr>
          <w:rFonts w:ascii="Liberation Sans" w:hAnsi="Liberation Sans"/>
          <w:b/>
          <w:i w:val="0"/>
          <w:color w:val="17365D"/>
        </w:rPr>
        <w:t>Aprobaciones</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tblHeader w:val="true"/>
        </w:trPr>
        <w:tc>
          <w:tcPr>
            <w:tcW w:type="dxa" w:w="1728"/>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8"/>
              </w:rPr>
              <w:t>Rol</w:t>
            </w:r>
          </w:p>
        </w:tc>
        <w:tc>
          <w:tcPr>
            <w:tcW w:type="dxa" w:w="2880"/>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8"/>
              </w:rPr>
              <w:t>Nombre</w:t>
            </w:r>
          </w:p>
        </w:tc>
        <w:tc>
          <w:tcPr>
            <w:tcW w:type="dxa" w:w="2880"/>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8"/>
              </w:rPr>
              <w:t>Firma</w:t>
            </w:r>
          </w:p>
        </w:tc>
        <w:tc>
          <w:tcPr>
            <w:tcW w:type="dxa" w:w="3024"/>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8"/>
              </w:rPr>
              <w:t>Fecha</w:t>
            </w:r>
          </w:p>
        </w:tc>
      </w:tr>
      <w:tr>
        <w:trPr>
          <w:cantSplit/>
        </w:trPr>
        <w:tc>
          <w:tcPr>
            <w:tcW w:type="dxa" w:w="1728"/>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Elaboró</w:t>
            </w:r>
          </w:p>
        </w:tc>
        <w:tc>
          <w:tcPr>
            <w:tcW w:type="dxa" w:w="288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Edwin Carabalí</w:t>
            </w:r>
          </w:p>
        </w:tc>
        <w:tc>
          <w:tcPr>
            <w:tcW w:type="dxa" w:w="288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w:t>
            </w:r>
          </w:p>
        </w:tc>
        <w:tc>
          <w:tcPr>
            <w:tcW w:type="dxa" w:w="3024"/>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11-oct-2026</w:t>
            </w:r>
          </w:p>
        </w:tc>
      </w:tr>
      <w:tr>
        <w:trPr>
          <w:cantSplit/>
        </w:trPr>
        <w:tc>
          <w:tcPr>
            <w:tcW w:type="dxa" w:w="1728"/>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Revisó</w:t>
            </w:r>
          </w:p>
        </w:tc>
        <w:tc>
          <w:tcPr>
            <w:tcW w:type="dxa" w:w="2880"/>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Pendiente</w:t>
            </w:r>
          </w:p>
        </w:tc>
        <w:tc>
          <w:tcPr>
            <w:tcW w:type="dxa" w:w="2880"/>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TBD</w:t>
            </w:r>
          </w:p>
        </w:tc>
        <w:tc>
          <w:tcPr>
            <w:tcW w:type="dxa" w:w="3024"/>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TBD</w:t>
            </w:r>
          </w:p>
        </w:tc>
      </w:tr>
      <w:tr>
        <w:trPr>
          <w:cantSplit/>
        </w:trPr>
        <w:tc>
          <w:tcPr>
            <w:tcW w:type="dxa" w:w="1728"/>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Aprobó</w:t>
            </w:r>
          </w:p>
        </w:tc>
        <w:tc>
          <w:tcPr>
            <w:tcW w:type="dxa" w:w="288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Pendiente</w:t>
            </w:r>
          </w:p>
        </w:tc>
        <w:tc>
          <w:tcPr>
            <w:tcW w:type="dxa" w:w="288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TBD</w:t>
            </w:r>
          </w:p>
        </w:tc>
        <w:tc>
          <w:tcPr>
            <w:tcW w:type="dxa" w:w="3024"/>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8"/>
              </w:rPr>
              <w:t>TBD</w:t>
            </w:r>
          </w:p>
        </w:tc>
      </w:tr>
    </w:tbl>
    <w:p>
      <w:pPr>
        <w:spacing w:after="20"/>
      </w:pPr>
    </w:p>
    <w:p>
      <w:pPr>
        <w:pStyle w:val="Heading2"/>
      </w:pPr>
      <w:r>
        <w:rPr>
          <w:rFonts w:ascii="Liberation Sans" w:hAnsi="Liberation Sans"/>
          <w:b/>
          <w:i w:val="0"/>
          <w:color w:val="17365D"/>
        </w:rPr>
        <w:t>Distribución</w:t>
      </w:r>
    </w:p>
    <w:p>
      <w:pPr/>
      <w:r>
        <w:rPr>
          <w:rFonts w:ascii="Liberation Sans" w:hAnsi="Liberation Sans"/>
          <w:b w:val="0"/>
          <w:i w:val="0"/>
        </w:rPr>
        <w:t>Repositorio del proyecto, carpeta de documentación. Documento vivo: cada cambio sube la versión y se registra en el historial. El estado actual es draft / revisión y no constituye una línea base aprobada.</w:t>
      </w:r>
    </w:p>
    <w:p>
      <w:pPr>
        <w:pStyle w:val="Heading1"/>
      </w:pPr>
      <w:r>
        <w:rPr>
          <w:rFonts w:ascii="Liberation Sans" w:hAnsi="Liberation Sans"/>
          <w:b/>
          <w:i w:val="0"/>
          <w:color w:val="1F4E79"/>
        </w:rPr>
        <w:t>Contenido</w:t>
      </w:r>
    </w:p>
    <w:p>
      <w:pPr>
        <w:pStyle w:val="ListBullet"/>
      </w:pPr>
      <w:r>
        <w:rPr>
          <w:rFonts w:ascii="Liberation Sans" w:hAnsi="Liberation Sans"/>
          <w:b w:val="0"/>
          <w:i w:val="0"/>
        </w:rPr>
        <w:t>1. Resumen</w:t>
      </w:r>
    </w:p>
    <w:p>
      <w:pPr>
        <w:pStyle w:val="ListBullet"/>
      </w:pPr>
      <w:r>
        <w:rPr>
          <w:rFonts w:ascii="Liberation Sans" w:hAnsi="Liberation Sans"/>
          <w:b w:val="0"/>
          <w:i w:val="0"/>
        </w:rPr>
        <w:t>2. Propósito y uso del PRD</w:t>
      </w:r>
    </w:p>
    <w:p>
      <w:pPr>
        <w:pStyle w:val="ListBullet"/>
      </w:pPr>
      <w:r>
        <w:rPr>
          <w:rFonts w:ascii="Liberation Sans" w:hAnsi="Liberation Sans"/>
          <w:b w:val="0"/>
          <w:i w:val="0"/>
        </w:rPr>
        <w:t>3. Problema [HIP]</w:t>
      </w:r>
    </w:p>
    <w:p>
      <w:pPr>
        <w:pStyle w:val="ListBullet"/>
      </w:pPr>
      <w:r>
        <w:rPr>
          <w:rFonts w:ascii="Liberation Sans" w:hAnsi="Liberation Sans"/>
          <w:b w:val="0"/>
          <w:i w:val="0"/>
        </w:rPr>
        <w:t>4. Usuarios objetivo [HIP]</w:t>
      </w:r>
    </w:p>
    <w:p>
      <w:pPr>
        <w:pStyle w:val="ListBullet"/>
      </w:pPr>
      <w:r>
        <w:rPr>
          <w:rFonts w:ascii="Liberation Sans" w:hAnsi="Liberation Sans"/>
          <w:b w:val="0"/>
          <w:i w:val="0"/>
        </w:rPr>
        <w:t>5. Objetivos y no objetivos</w:t>
      </w:r>
    </w:p>
    <w:p>
      <w:pPr>
        <w:pStyle w:val="ListBullet"/>
      </w:pPr>
      <w:r>
        <w:rPr>
          <w:rFonts w:ascii="Liberation Sans" w:hAnsi="Liberation Sans"/>
          <w:b w:val="0"/>
          <w:i w:val="0"/>
        </w:rPr>
        <w:t>6. Métricas de éxito [HIP]</w:t>
      </w:r>
    </w:p>
    <w:p>
      <w:pPr>
        <w:pStyle w:val="ListBullet"/>
      </w:pPr>
      <w:r>
        <w:rPr>
          <w:rFonts w:ascii="Liberation Sans" w:hAnsi="Liberation Sans"/>
          <w:b w:val="0"/>
          <w:i w:val="0"/>
        </w:rPr>
        <w:t>7. Alcance del MVP</w:t>
      </w:r>
    </w:p>
    <w:p>
      <w:pPr>
        <w:pStyle w:val="ListBullet"/>
      </w:pPr>
      <w:r>
        <w:rPr>
          <w:rFonts w:ascii="Liberation Sans" w:hAnsi="Liberation Sans"/>
          <w:b w:val="0"/>
          <w:i w:val="0"/>
        </w:rPr>
        <w:t>8. Calidad y gestión de requisitos de producto</w:t>
      </w:r>
    </w:p>
    <w:p>
      <w:pPr>
        <w:pStyle w:val="ListBullet"/>
      </w:pPr>
      <w:r>
        <w:rPr>
          <w:rFonts w:ascii="Liberation Sans" w:hAnsi="Liberation Sans"/>
          <w:b w:val="0"/>
          <w:i w:val="0"/>
        </w:rPr>
        <w:t>9. Requisitos del producto de alto nivel</w:t>
      </w:r>
    </w:p>
    <w:p>
      <w:pPr>
        <w:pStyle w:val="ListBullet"/>
      </w:pPr>
      <w:r>
        <w:rPr>
          <w:rFonts w:ascii="Liberation Sans" w:hAnsi="Liberation Sans"/>
          <w:b w:val="0"/>
          <w:i w:val="0"/>
        </w:rPr>
        <w:t>10. Supuestos, restricciones y dependencias</w:t>
      </w:r>
    </w:p>
    <w:p>
      <w:pPr>
        <w:pStyle w:val="ListBullet"/>
      </w:pPr>
      <w:r>
        <w:rPr>
          <w:rFonts w:ascii="Liberation Sans" w:hAnsi="Liberation Sans"/>
          <w:b w:val="0"/>
          <w:i w:val="0"/>
        </w:rPr>
        <w:t>11. Riesgos iniciales</w:t>
      </w:r>
    </w:p>
    <w:p>
      <w:pPr>
        <w:pStyle w:val="ListBullet"/>
      </w:pPr>
      <w:r>
        <w:rPr>
          <w:rFonts w:ascii="Liberation Sans" w:hAnsi="Liberation Sans"/>
          <w:b w:val="0"/>
          <w:i w:val="0"/>
        </w:rPr>
        <w:t>12. Preguntas abiertas</w:t>
      </w:r>
    </w:p>
    <w:p>
      <w:pPr>
        <w:pStyle w:val="ListBullet"/>
      </w:pPr>
      <w:r>
        <w:rPr>
          <w:rFonts w:ascii="Liberation Sans" w:hAnsi="Liberation Sans"/>
          <w:b w:val="0"/>
          <w:i w:val="0"/>
        </w:rPr>
        <w:t>13. Hitos de la Fase 0</w:t>
      </w:r>
    </w:p>
    <w:p>
      <w:pPr>
        <w:pStyle w:val="ListBullet"/>
      </w:pPr>
      <w:r>
        <w:rPr>
          <w:rFonts w:ascii="Liberation Sans" w:hAnsi="Liberation Sans"/>
          <w:b w:val="0"/>
          <w:i w:val="0"/>
        </w:rPr>
        <w:t>14. Glosario</w:t>
      </w:r>
    </w:p>
    <w:p>
      <w:pPr>
        <w:pStyle w:val="ListBullet"/>
      </w:pPr>
      <w:r>
        <w:rPr>
          <w:rFonts w:ascii="Liberation Sans" w:hAnsi="Liberation Sans"/>
          <w:b w:val="0"/>
          <w:i w:val="0"/>
        </w:rPr>
        <w:t>15. Análisis de alternativas y registro de evidencia</w:t>
      </w:r>
    </w:p>
    <w:p>
      <w:pPr>
        <w:pStyle w:val="ListBullet"/>
      </w:pPr>
      <w:r>
        <w:rPr>
          <w:rFonts w:ascii="Liberation Sans" w:hAnsi="Liberation Sans"/>
          <w:b w:val="0"/>
          <w:i w:val="0"/>
        </w:rPr>
        <w:t>16. Cambios respecto a la v0.1</w:t>
      </w:r>
    </w:p>
    <w:p>
      <w:pPr>
        <w:pStyle w:val="ListBullet"/>
      </w:pPr>
      <w:r>
        <w:rPr>
          <w:rFonts w:ascii="Liberation Sans" w:hAnsi="Liberation Sans"/>
          <w:b w:val="0"/>
          <w:i w:val="0"/>
        </w:rPr>
        <w:t>17. Cambios de la v0.3 a la v0.4</w:t>
      </w:r>
    </w:p>
    <w:p>
      <w:pPr>
        <w:pStyle w:val="ListBullet"/>
      </w:pPr>
      <w:r>
        <w:rPr>
          <w:rFonts w:ascii="Liberation Sans" w:hAnsi="Liberation Sans"/>
          <w:b w:val="0"/>
          <w:i w:val="0"/>
        </w:rPr>
        <w:t>18. Referencia metodológica: ISO/IEC/IEEE 29148:2018</w:t>
      </w:r>
    </w:p>
    <w:p>
      <w:pPr>
        <w:pStyle w:val="ListBullet"/>
      </w:pPr>
      <w:r>
        <w:rPr>
          <w:rFonts w:ascii="Liberation Sans" w:hAnsi="Liberation Sans"/>
          <w:b w:val="0"/>
          <w:i w:val="0"/>
        </w:rPr>
        <w:t>19. Estado de revisión y pendientes</w:t>
      </w:r>
    </w:p>
    <w:tbl>
      <w:tblPr>
        <w:tblW w:type="auto" w:w="0"/>
        <w:jc w:val="center"/>
        <w:tblLayout w:type="autofit"/>
        <w:tblLook w:firstColumn="1" w:firstRow="1" w:lastColumn="0" w:lastRow="0" w:noHBand="0" w:noVBand="1" w:val="04A0"/>
      </w:tblPr>
      <w:tblGrid>
        <w:gridCol w:w="8640"/>
      </w:tblGrid>
      <w:tr>
        <w:tc>
          <w:tcPr>
            <w:tcW w:type="dxa" w:w="8640"/>
            <w:shd w:fill="D9EAF7"/>
            <w:vAlign w:val="top"/>
            <w:tcMar>
              <w:top w:w="70" w:type="dxa"/>
              <w:start w:w="90" w:type="dxa"/>
              <w:bottom w:w="70" w:type="dxa"/>
              <w:end w:w="90" w:type="dxa"/>
            </w:tcMar>
          </w:tcPr>
          <w:p>
            <w:pPr>
              <w:spacing w:after="20" w:line="240" w:lineRule="auto"/>
            </w:pPr>
            <w:r/>
            <w:r>
              <w:rPr>
                <w:rFonts w:ascii="Liberation Sans" w:hAnsi="Liberation Sans"/>
                <w:b w:val="0"/>
                <w:color w:val="374151"/>
                <w:sz w:val="18"/>
              </w:rPr>
              <w:t>Convenciones: [HIP] identifica una hipótesis sin evidencia de campo. TBD y “pendiente de evidencia real” identifican decisiones o datos abiertos. Los requisitos son candidatos en estado draft hasta su revisión y aprobación. Las metas cuantitativas marcadas como [HIP] son provisionales.</w:t>
            </w:r>
          </w:p>
        </w:tc>
      </w:tr>
    </w:tbl>
    <w:p>
      <w:pPr>
        <w:spacing w:after="40"/>
      </w:pPr>
    </w:p>
    <w:p>
      <w:pPr>
        <w:pStyle w:val="Heading1"/>
      </w:pPr>
      <w:r>
        <w:rPr>
          <w:rFonts w:ascii="Liberation Sans" w:hAnsi="Liberation Sans"/>
          <w:b/>
          <w:i w:val="0"/>
          <w:color w:val="1F4E79"/>
        </w:rPr>
        <w:t>1. Resumen</w:t>
      </w:r>
    </w:p>
    <w:p>
      <w:pPr/>
      <w:r>
        <w:rPr>
          <w:rFonts w:ascii="Liberation Sans" w:hAnsi="Liberation Sans"/>
          <w:b w:val="0"/>
          <w:i w:val="0"/>
        </w:rPr>
        <w:t>Chulito es una hipótesis provisional de servicio multi-emisor para negocios pequeños con empleados. El producto busca recibir y normalizar notificaciones de pago por una vía controlada por el usuario, presentar al cajero una vista de confirmaciones auténticas en segundos sin exponer la cuenta financiera del titular y mantener un libro diario unificado de los emisores habilitados por el negocio.</w:t>
      </w:r>
    </w:p>
    <w:p>
      <w:pPr/>
      <w:r>
        <w:rPr>
          <w:rFonts w:ascii="Liberation Sans" w:hAnsi="Liberation Sans"/>
          <w:b w:val="0"/>
          <w:i w:val="0"/>
        </w:rPr>
        <w:t>El posicionamiento provisional es una vista operativa compartida y un cuadre multi-emisor, no un reemplazo de bancos, billeteras, facturación o punto de venta. La señalización de pagos dudosos ayuda a la revisión, pero el fraude no es la propuesta principal. Esta formulación sigue siendo [HIP] y debe validarse con entrevistas y muestras reales; no se infiere demanda ni prioridad desde S-0.1.</w:t>
      </w:r>
    </w:p>
    <w:tbl>
      <w:tblPr>
        <w:tblW w:type="auto" w:w="0"/>
        <w:jc w:val="center"/>
        <w:tblLayout w:type="autofit"/>
        <w:tblLook w:firstColumn="1" w:firstRow="1" w:lastColumn="0" w:lastRow="0" w:noHBand="0" w:noVBand="1" w:val="04A0"/>
      </w:tblPr>
      <w:tblGrid>
        <w:gridCol w:w="8640"/>
      </w:tblGrid>
      <w:tr>
        <w:tc>
          <w:tcPr>
            <w:tcW w:type="dxa" w:w="8640"/>
            <w:shd w:fill="FFF2CC"/>
            <w:vAlign w:val="top"/>
            <w:tcMar>
              <w:top w:w="70" w:type="dxa"/>
              <w:start w:w="90" w:type="dxa"/>
              <w:bottom w:w="70" w:type="dxa"/>
              <w:end w:w="90" w:type="dxa"/>
            </w:tcMar>
          </w:tcPr>
          <w:p>
            <w:pPr>
              <w:spacing w:after="20" w:line="240" w:lineRule="auto"/>
            </w:pPr>
            <w:r/>
            <w:r>
              <w:rPr>
                <w:rFonts w:ascii="Liberation Sans" w:hAnsi="Liberation Sans"/>
                <w:b w:val="0"/>
                <w:color w:val="374151"/>
                <w:sz w:val="18"/>
              </w:rPr>
              <w:t>S-0.1: S-0.1 es un escenario simulado, no resultados de entrevistas realizadas. Sus hallazgos solo se utilizan como escenario de trabajo para formular hipótesis.</w:t>
            </w:r>
          </w:p>
        </w:tc>
      </w:tr>
    </w:tbl>
    <w:p>
      <w:pPr>
        <w:spacing w:after="40"/>
      </w:pPr>
    </w:p>
    <w:p>
      <w:pPr>
        <w:pStyle w:val="Heading1"/>
      </w:pPr>
      <w:r>
        <w:rPr>
          <w:rFonts w:ascii="Liberation Sans" w:hAnsi="Liberation Sans"/>
          <w:b/>
          <w:i w:val="0"/>
          <w:color w:val="1F4E79"/>
        </w:rPr>
        <w:t>2. Propósito y uso del PRD</w:t>
      </w:r>
    </w:p>
    <w:p>
      <w:pPr/>
      <w:r>
        <w:rPr>
          <w:rFonts w:ascii="Liberation Sans" w:hAnsi="Liberation Sans"/>
          <w:b w:val="0"/>
          <w:i w:val="0"/>
        </w:rPr>
        <w:t>Este documento define la visión del producto, el problema que se busca resolver, los usuarios objetivo, los límites del MVP, los resultados esperados, los requisitos de producto de alto nivel, las restricciones, los riesgos, las alternativas revisadas y las decisiones pendientes. Sus requisitos expresan resultados que el producto debe ofrecer; no fijan arquitectura, diseño de datos ni una solución técnica.</w:t>
      </w:r>
    </w:p>
    <w:p>
      <w:pPr/>
      <w:r>
        <w:rPr>
          <w:rFonts w:ascii="Liberation Sans" w:hAnsi="Liberation Sans"/>
          <w:b w:val="0"/>
          <w:i w:val="0"/>
        </w:rPr>
        <w:t>La estructura se mantiene como PRD basado en visión y alcance. Se incorporan prácticas seleccionadas de ingeniería de requisitos —identificación, trazabilidad, estado, prioridad y validación— orientadas por ISO/IEC/IEEE 29148:2018. Este archivo no es un SRS ni una plantilla oficial de la norma y no declara certificación ni conformidad formal.</w:t>
      </w:r>
    </w:p>
    <w:p>
      <w:pPr/>
      <w:r>
        <w:rPr>
          <w:rFonts w:ascii="Liberation Sans" w:hAnsi="Liberation Sans"/>
          <w:b w:val="0"/>
          <w:i w:val="0"/>
        </w:rPr>
        <w:t>La trazabilidad de detalle se proyecta al SRS CNF-SRS-001 v0.4. La referencia CNF es histórica y se conserva para no romper claves documentales; la marca visible del producto en esta versión es Chulito.</w:t>
      </w:r>
    </w:p>
    <w:p>
      <w:pPr>
        <w:pStyle w:val="Heading1"/>
      </w:pPr>
      <w:r>
        <w:rPr>
          <w:rFonts w:ascii="Liberation Sans" w:hAnsi="Liberation Sans"/>
          <w:b/>
          <w:i w:val="0"/>
          <w:color w:val="1F4E79"/>
        </w:rPr>
        <w:t>3. Problema [HIP]</w:t>
      </w:r>
    </w:p>
    <w:p>
      <w:pPr/>
      <w:r>
        <w:rPr>
          <w:rFonts w:ascii="Liberation Sans" w:hAnsi="Liberation Sans"/>
          <w:b w:val="0"/>
          <w:i w:val="0"/>
        </w:rPr>
        <w:t>Los negocios pequeños pueden recibir pagos por varios emisores (por ejemplo, Nequi, Daviplata, bancos y Bre-B), mientras cada canal ofrece su propia forma de confirmarlos. La hipótesis de trabajo es que aparecen tres fricciones relacionadas:</w:t>
      </w:r>
    </w:p>
    <w:p>
      <w:pPr>
        <w:pStyle w:val="ListBullet"/>
      </w:pPr>
      <w:r>
        <w:rPr>
          <w:rFonts w:ascii="Liberation Sans" w:hAnsi="Liberation Sans"/>
          <w:b w:val="0"/>
          <w:i w:val="0"/>
        </w:rPr>
        <w:t>El empleado que recibe el pago puede no ver la alerta que llega al titular o a otro canal.</w:t>
      </w:r>
    </w:p>
    <w:p>
      <w:pPr>
        <w:pStyle w:val="ListBullet"/>
      </w:pPr>
      <w:r>
        <w:rPr>
          <w:rFonts w:ascii="Liberation Sans" w:hAnsi="Liberation Sans"/>
          <w:b w:val="0"/>
          <w:i w:val="0"/>
        </w:rPr>
        <w:t>El cierre del día puede requerir reunir varias aplicaciones y un cuaderno o registro manual.</w:t>
      </w:r>
    </w:p>
    <w:p>
      <w:pPr>
        <w:pStyle w:val="ListBullet"/>
      </w:pPr>
      <w:r>
        <w:rPr>
          <w:rFonts w:ascii="Liberation Sans" w:hAnsi="Liberation Sans"/>
          <w:b w:val="0"/>
          <w:i w:val="0"/>
        </w:rPr>
        <w:t>Los comprobantes manipulados o los datos incompletos pueden generar revisión adicional; este es un riesgo secundario, no el centro del posicionamiento.</w:t>
      </w:r>
    </w:p>
    <w:p>
      <w:pPr/>
      <w:r>
        <w:rPr>
          <w:rFonts w:ascii="Liberation Sans" w:hAnsi="Liberation Sans"/>
          <w:b w:val="0"/>
          <w:i w:val="0"/>
        </w:rPr>
        <w:t>Origen de los datos: esta versión usa el informe S-0.1 solo como escenario simulado. No es evidencia de campo ni resultado de entrevistas. Las hipótesis deben reemplazarse o confirmarse con entrevistas reales, muestras autorizadas y evidencia de uso.</w:t>
      </w:r>
    </w:p>
    <w:p>
      <w:pPr>
        <w:pStyle w:val="Heading1"/>
      </w:pPr>
      <w:r>
        <w:rPr>
          <w:rFonts w:ascii="Liberation Sans" w:hAnsi="Liberation Sans"/>
          <w:b/>
          <w:i w:val="0"/>
          <w:color w:val="1F4E79"/>
        </w:rPr>
        <w:t>4. Usuarios objetivo [HIP]</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tblHeader w:val="true"/>
        </w:trPr>
        <w:tc>
          <w:tcPr>
            <w:tcW w:type="dxa" w:w="2232"/>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7"/>
              </w:rPr>
              <w:t>Persona</w:t>
            </w:r>
          </w:p>
        </w:tc>
        <w:tc>
          <w:tcPr>
            <w:tcW w:type="dxa" w:w="2736"/>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7"/>
              </w:rPr>
              <w:t>Descripción</w:t>
            </w:r>
          </w:p>
        </w:tc>
        <w:tc>
          <w:tcPr>
            <w:tcW w:type="dxa" w:w="4176"/>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7"/>
              </w:rPr>
              <w:t>Necesidad principal</w:t>
            </w:r>
          </w:p>
        </w:tc>
        <w:tc>
          <w:tcPr>
            <w:tcW w:type="dxa" w:w="1368"/>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7"/>
              </w:rPr>
              <w:t>Prioridad</w:t>
            </w:r>
          </w:p>
        </w:tc>
      </w:tr>
      <w:tr>
        <w:trPr>
          <w:cantSplit/>
        </w:trPr>
        <w:tc>
          <w:tcPr>
            <w:tcW w:type="dxa" w:w="2232"/>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Dueño de negocio con empleados</w:t>
            </w:r>
          </w:p>
        </w:tc>
        <w:tc>
          <w:tcPr>
            <w:tcW w:type="dxa" w:w="2736"/>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Tienda de barrio o negocio de comida con varios medios de pago.</w:t>
            </w:r>
          </w:p>
        </w:tc>
        <w:tc>
          <w:tcPr>
            <w:tcW w:type="dxa" w:w="4176"/>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Que su equipo confirme pagos sin compartir su cuenta y que pueda cuadrar el día.</w:t>
            </w:r>
          </w:p>
        </w:tc>
        <w:tc>
          <w:tcPr>
            <w:tcW w:type="dxa" w:w="1368"/>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Alta</w:t>
            </w:r>
          </w:p>
        </w:tc>
      </w:tr>
      <w:tr>
        <w:trPr>
          <w:cantSplit/>
        </w:trPr>
        <w:tc>
          <w:tcPr>
            <w:tcW w:type="dxa" w:w="2232"/>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Cajero o empleado</w:t>
            </w:r>
          </w:p>
        </w:tc>
        <w:tc>
          <w:tcPr>
            <w:tcW w:type="dxa" w:w="2736"/>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Recibe pagos en nombre del dueño.</w:t>
            </w:r>
          </w:p>
        </w:tc>
        <w:tc>
          <w:tcPr>
            <w:tcW w:type="dxa" w:w="4176"/>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Ver al instante si el pago llegó, sin llamar al dueño ni acceder a su cuenta.</w:t>
            </w:r>
          </w:p>
        </w:tc>
        <w:tc>
          <w:tcPr>
            <w:tcW w:type="dxa" w:w="1368"/>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Alta</w:t>
            </w:r>
          </w:p>
        </w:tc>
      </w:tr>
      <w:tr>
        <w:trPr>
          <w:cantSplit/>
        </w:trPr>
        <w:tc>
          <w:tcPr>
            <w:tcW w:type="dxa" w:w="2232"/>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Administrador</w:t>
            </w:r>
          </w:p>
        </w:tc>
        <w:tc>
          <w:tcPr>
            <w:tcW w:type="dxa" w:w="2736"/>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El dueño u otra persona que cierra el día.</w:t>
            </w:r>
          </w:p>
        </w:tc>
        <w:tc>
          <w:tcPr>
            <w:tcW w:type="dxa" w:w="4176"/>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Libro diario unificado y revisión de pagos dudosos.</w:t>
            </w:r>
          </w:p>
        </w:tc>
        <w:tc>
          <w:tcPr>
            <w:tcW w:type="dxa" w:w="1368"/>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Media</w:t>
            </w:r>
          </w:p>
        </w:tc>
      </w:tr>
      <w:tr>
        <w:trPr>
          <w:cantSplit/>
        </w:trPr>
        <w:tc>
          <w:tcPr>
            <w:tcW w:type="dxa" w:w="2232"/>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Vendedor por redes que cobra solo</w:t>
            </w:r>
          </w:p>
        </w:tc>
        <w:tc>
          <w:tcPr>
            <w:tcW w:type="dxa" w:w="2736"/>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Emprendedor sin empleados.</w:t>
            </w:r>
          </w:p>
        </w:tc>
        <w:tc>
          <w:tcPr>
            <w:tcW w:type="dxa" w:w="4176"/>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Verificar rápido y llevar registro.</w:t>
            </w:r>
          </w:p>
        </w:tc>
        <w:tc>
          <w:tcPr>
            <w:tcW w:type="dxa" w:w="1368"/>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Baja; después del MVP</w:t>
            </w:r>
          </w:p>
        </w:tc>
      </w:tr>
    </w:tbl>
    <w:p>
      <w:pPr>
        <w:spacing w:after="20"/>
      </w:pPr>
    </w:p>
    <w:p>
      <w:pPr/>
      <w:r>
        <w:rPr>
          <w:rFonts w:ascii="Liberation Sans" w:hAnsi="Liberation Sans"/>
          <w:b w:val="0"/>
          <w:i w:val="0"/>
        </w:rPr>
        <w:t>La prioridad inicial es un solo perfil: negocio con empleados y varios medios de pago. El vendedor que cobra solo queda para después del MVP. La segmentación y las necesidades se mantienen [HIP] hasta obtener evidencia real.</w:t>
      </w:r>
    </w:p>
    <w:p>
      <w:pPr>
        <w:pStyle w:val="Heading1"/>
      </w:pPr>
      <w:r>
        <w:rPr>
          <w:rFonts w:ascii="Liberation Sans" w:hAnsi="Liberation Sans"/>
          <w:b/>
          <w:i w:val="0"/>
          <w:color w:val="1F4E79"/>
        </w:rPr>
        <w:t>5. Objetivos y no objetivos</w:t>
      </w:r>
    </w:p>
    <w:p>
      <w:pPr>
        <w:pStyle w:val="Heading2"/>
      </w:pPr>
      <w:r>
        <w:rPr>
          <w:rFonts w:ascii="Liberation Sans" w:hAnsi="Liberation Sans"/>
          <w:b/>
          <w:i w:val="0"/>
          <w:color w:val="17365D"/>
        </w:rPr>
        <w:t>5.1 Objetivos del producto</w:t>
      </w:r>
    </w:p>
    <w:p>
      <w:pPr>
        <w:pStyle w:val="ListBullet"/>
      </w:pPr>
      <w:r>
        <w:rPr>
          <w:rFonts w:ascii="Liberation Sans" w:hAnsi="Liberation Sans"/>
          <w:b w:val="0"/>
          <w:i w:val="0"/>
        </w:rPr>
        <w:t>O1. Que el cajero confirme un pago en segundos, sin acceso a la cuenta del dueño ni llamadas.</w:t>
      </w:r>
    </w:p>
    <w:p>
      <w:pPr>
        <w:pStyle w:val="ListBullet"/>
      </w:pPr>
      <w:r>
        <w:rPr>
          <w:rFonts w:ascii="Liberation Sans" w:hAnsi="Liberation Sans"/>
          <w:b w:val="0"/>
          <w:i w:val="0"/>
        </w:rPr>
        <w:t>O2. Un libro diario unificado de los emisores habilitados por el negocio para cuadrar la caja.</w:t>
      </w:r>
    </w:p>
    <w:p>
      <w:pPr>
        <w:pStyle w:val="ListBullet"/>
      </w:pPr>
      <w:r>
        <w:rPr>
          <w:rFonts w:ascii="Liberation Sans" w:hAnsi="Liberation Sans"/>
          <w:b w:val="0"/>
          <w:i w:val="0"/>
        </w:rPr>
        <w:t>O3. No exigir al negocio cambiar de banco ni de billetera.</w:t>
      </w:r>
    </w:p>
    <w:p>
      <w:pPr>
        <w:pStyle w:val="ListBullet"/>
      </w:pPr>
      <w:r>
        <w:rPr>
          <w:rFonts w:ascii="Liberation Sans" w:hAnsi="Liberation Sans"/>
          <w:b w:val="0"/>
          <w:i w:val="0"/>
        </w:rPr>
        <w:t>O4. Señalar pagos dudosos como función secundaria de apoyo a la revisión; no posicionar el producto principalmente como detector de fraude.</w:t>
      </w:r>
    </w:p>
    <w:p>
      <w:pPr>
        <w:pStyle w:val="Heading2"/>
      </w:pPr>
      <w:r>
        <w:rPr>
          <w:rFonts w:ascii="Liberation Sans" w:hAnsi="Liberation Sans"/>
          <w:b/>
          <w:i w:val="0"/>
          <w:color w:val="17365D"/>
        </w:rPr>
        <w:t>5.2 Objetivos del proyecto (portafolio)</w:t>
      </w:r>
    </w:p>
    <w:p>
      <w:pPr>
        <w:pStyle w:val="ListBullet"/>
      </w:pPr>
      <w:r>
        <w:rPr>
          <w:rFonts w:ascii="Liberation Sans" w:hAnsi="Liberation Sans"/>
          <w:b w:val="0"/>
          <w:i w:val="0"/>
        </w:rPr>
        <w:t>P1. Demostrar arquitectura de ingesta asíncrona, idempotencia y procesamiento por colas.</w:t>
      </w:r>
    </w:p>
    <w:p>
      <w:pPr>
        <w:pStyle w:val="ListBullet"/>
      </w:pPr>
      <w:r>
        <w:rPr>
          <w:rFonts w:ascii="Liberation Sans" w:hAnsi="Liberation Sans"/>
          <w:b w:val="0"/>
          <w:i w:val="0"/>
        </w:rPr>
        <w:t>P2. Demostrar seguridad y privacidad desde el diseño con datos financieros.</w:t>
      </w:r>
    </w:p>
    <w:p>
      <w:pPr>
        <w:pStyle w:val="ListBullet"/>
      </w:pPr>
      <w:r>
        <w:rPr>
          <w:rFonts w:ascii="Liberation Sans" w:hAnsi="Liberation Sans"/>
          <w:b w:val="0"/>
          <w:i w:val="0"/>
        </w:rPr>
        <w:t>P3. Entregar un producto desplegado, documentado y medido, no un prototipo incompleto.</w:t>
      </w:r>
    </w:p>
    <w:p>
      <w:pPr>
        <w:pStyle w:val="Heading2"/>
      </w:pPr>
      <w:r>
        <w:rPr>
          <w:rFonts w:ascii="Liberation Sans" w:hAnsi="Liberation Sans"/>
          <w:b/>
          <w:i w:val="0"/>
          <w:color w:val="17365D"/>
        </w:rPr>
        <w:t>5.3 No objetivos (fuera de alcance)</w:t>
      </w:r>
    </w:p>
    <w:p>
      <w:pPr>
        <w:pStyle w:val="ListBullet"/>
      </w:pPr>
      <w:r>
        <w:rPr>
          <w:rFonts w:ascii="Liberation Sans" w:hAnsi="Liberation Sans"/>
          <w:b w:val="0"/>
          <w:i w:val="0"/>
        </w:rPr>
        <w:t>Mover, custodiar o procesar dinero. Chulito solo lee y concilia; no es una pasarela ni una billetera.</w:t>
      </w:r>
    </w:p>
    <w:p>
      <w:pPr>
        <w:pStyle w:val="ListBullet"/>
      </w:pPr>
      <w:r>
        <w:rPr>
          <w:rFonts w:ascii="Liberation Sans" w:hAnsi="Liberation Sans"/>
          <w:b w:val="0"/>
          <w:i w:val="0"/>
        </w:rPr>
        <w:t>Reemplazar un sistema de facturación o de punto de venta.</w:t>
      </w:r>
    </w:p>
    <w:p>
      <w:pPr>
        <w:pStyle w:val="ListBullet"/>
      </w:pPr>
      <w:r>
        <w:rPr>
          <w:rFonts w:ascii="Liberation Sans" w:hAnsi="Liberation Sans"/>
          <w:b w:val="0"/>
          <w:i w:val="0"/>
        </w:rPr>
        <w:t>Integraciones oficiales con bancos: no hay acuerdos. Se trabaja con las notificaciones que el propio usuario recibe y con las vías que se aprueben.</w:t>
      </w:r>
    </w:p>
    <w:p>
      <w:pPr>
        <w:pStyle w:val="ListBullet"/>
      </w:pPr>
      <w:r>
        <w:rPr>
          <w:rFonts w:ascii="Liberation Sans" w:hAnsi="Liberation Sans"/>
          <w:b w:val="0"/>
          <w:i w:val="0"/>
        </w:rPr>
        <w:t>Hacer del fraude la propuesta principal o emitir una garantía de autenticidad más allá de los datos disponibles en la vía autorizada.</w:t>
      </w:r>
    </w:p>
    <w:p>
      <w:pPr>
        <w:pStyle w:val="Heading1"/>
      </w:pPr>
      <w:r>
        <w:rPr>
          <w:rFonts w:ascii="Liberation Sans" w:hAnsi="Liberation Sans"/>
          <w:b/>
          <w:i w:val="0"/>
          <w:color w:val="1F4E79"/>
        </w:rPr>
        <w:t>6. Métricas de éxito [HIP: valores objetivo por ajustar]</w:t>
      </w:r>
    </w:p>
    <w:tbl>
      <w:tblPr>
        <w:tblStyle w:val="TableGrid"/>
        <w:tblW w:type="auto" w:w="0"/>
        <w:jc w:val="center"/>
        <w:tblLayout w:type="fixed"/>
        <w:tblLook w:firstColumn="1" w:firstRow="1" w:lastColumn="0" w:lastRow="0" w:noHBand="0" w:noVBand="1" w:val="04A0"/>
      </w:tblPr>
      <w:tblGrid>
        <w:gridCol w:w="2880"/>
        <w:gridCol w:w="2880"/>
        <w:gridCol w:w="2880"/>
      </w:tblGrid>
      <w:tr>
        <w:trPr>
          <w:tblHeader w:val="true"/>
        </w:trPr>
        <w:tc>
          <w:tcPr>
            <w:tcW w:type="dxa" w:w="3024"/>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7"/>
              </w:rPr>
              <w:t>Métrica</w:t>
            </w:r>
          </w:p>
        </w:tc>
        <w:tc>
          <w:tcPr>
            <w:tcW w:type="dxa" w:w="3168"/>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7"/>
              </w:rPr>
              <w:t>Objetivo inicial [HIP]</w:t>
            </w:r>
          </w:p>
        </w:tc>
        <w:tc>
          <w:tcPr>
            <w:tcW w:type="dxa" w:w="4320"/>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7"/>
              </w:rPr>
              <w:t>Cómo se mide / estado</w:t>
            </w:r>
          </w:p>
        </w:tc>
      </w:tr>
      <w:tr>
        <w:trPr>
          <w:cantSplit/>
        </w:trPr>
        <w:tc>
          <w:tcPr>
            <w:tcW w:type="dxa" w:w="3024"/>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Cobros que el cajero confirma sin llamar al dueño</w:t>
            </w:r>
          </w:p>
        </w:tc>
        <w:tc>
          <w:tcPr>
            <w:tcW w:type="dxa" w:w="3168"/>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Al menos 80 % en el piloto.</w:t>
            </w:r>
          </w:p>
        </w:tc>
        <w:tc>
          <w:tcPr>
            <w:tcW w:type="dxa" w:w="432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Registro de eventos del piloto; TBD hasta validar definición de cobro confirmado.</w:t>
            </w:r>
          </w:p>
        </w:tc>
      </w:tr>
      <w:tr>
        <w:trPr>
          <w:cantSplit/>
        </w:trPr>
        <w:tc>
          <w:tcPr>
            <w:tcW w:type="dxa" w:w="3024"/>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Tiempo de cuadre diario</w:t>
            </w:r>
          </w:p>
        </w:tc>
        <w:tc>
          <w:tcPr>
            <w:tcW w:type="dxa" w:w="3168"/>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Reducción de al menos 50 % frente al punto de partida del negocio.</w:t>
            </w:r>
          </w:p>
        </w:tc>
        <w:tc>
          <w:tcPr>
            <w:tcW w:type="dxa" w:w="4320"/>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Medición antes y después en el piloto; pendiente de línea base real.</w:t>
            </w:r>
          </w:p>
        </w:tc>
      </w:tr>
      <w:tr>
        <w:trPr>
          <w:cantSplit/>
        </w:trPr>
        <w:tc>
          <w:tcPr>
            <w:tcW w:type="dxa" w:w="3024"/>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Falsos positivos (confirmar un pago que no existe)</w:t>
            </w:r>
          </w:p>
        </w:tc>
        <w:tc>
          <w:tcPr>
            <w:tcW w:type="dxa" w:w="3168"/>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0 en pruebas.</w:t>
            </w:r>
          </w:p>
        </w:tc>
        <w:tc>
          <w:tcPr>
            <w:tcW w:type="dxa" w:w="432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Conjunto de pruebas con casos falsos y manipulados; no es una promesa de mercado.</w:t>
            </w:r>
          </w:p>
        </w:tc>
      </w:tr>
      <w:tr>
        <w:trPr>
          <w:cantSplit/>
        </w:trPr>
        <w:tc>
          <w:tcPr>
            <w:tcW w:type="dxa" w:w="3024"/>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Latencia de confirmación</w:t>
            </w:r>
          </w:p>
        </w:tc>
        <w:tc>
          <w:tcPr>
            <w:tcW w:type="dxa" w:w="3168"/>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Menos de 10 s desde que llega la notificación hasta que el cajero la ve.</w:t>
            </w:r>
          </w:p>
        </w:tc>
        <w:tc>
          <w:tcPr>
            <w:tcW w:type="dxa" w:w="4320"/>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Medición extremo a extremo en pruebas de carga; objetivo TBD por canal.</w:t>
            </w:r>
          </w:p>
        </w:tc>
      </w:tr>
      <w:tr>
        <w:trPr>
          <w:cantSplit/>
        </w:trPr>
        <w:tc>
          <w:tcPr>
            <w:tcW w:type="dxa" w:w="3024"/>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Cobertura de parsers</w:t>
            </w:r>
          </w:p>
        </w:tc>
        <w:tc>
          <w:tcPr>
            <w:tcW w:type="dxa" w:w="3168"/>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Al menos 2 emisores soportados con muestras reales en el MVP.</w:t>
            </w:r>
          </w:p>
        </w:tc>
        <w:tc>
          <w:tcPr>
            <w:tcW w:type="dxa" w:w="432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Conteo de formatos con pruebas; pendiente de emisores elegidos y consentimiento.</w:t>
            </w:r>
          </w:p>
        </w:tc>
      </w:tr>
      <w:tr>
        <w:trPr>
          <w:cantSplit/>
        </w:trPr>
        <w:tc>
          <w:tcPr>
            <w:tcW w:type="dxa" w:w="3024"/>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Idempotencia</w:t>
            </w:r>
          </w:p>
        </w:tc>
        <w:tc>
          <w:tcPr>
            <w:tcW w:type="dxa" w:w="3168"/>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0 duplicados al reprocesar el mismo mensaje.</w:t>
            </w:r>
          </w:p>
        </w:tc>
        <w:tc>
          <w:tcPr>
            <w:tcW w:type="dxa" w:w="4320"/>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Pruebas de reintento y fallos parciales.</w:t>
            </w:r>
          </w:p>
        </w:tc>
      </w:tr>
      <w:tr>
        <w:trPr>
          <w:cantSplit/>
        </w:trPr>
        <w:tc>
          <w:tcPr>
            <w:tcW w:type="dxa" w:w="3024"/>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Uso real (piloto)</w:t>
            </w:r>
          </w:p>
        </w:tc>
        <w:tc>
          <w:tcPr>
            <w:tcW w:type="dxa" w:w="3168"/>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Al menos 2 negocios con empleados usando el servicio una semana.</w:t>
            </w:r>
          </w:p>
        </w:tc>
        <w:tc>
          <w:tcPr>
            <w:tcW w:type="dxa" w:w="432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Registro de eventos del piloto; pendiente de reclutamiento.</w:t>
            </w:r>
          </w:p>
        </w:tc>
      </w:tr>
    </w:tbl>
    <w:p>
      <w:pPr>
        <w:spacing w:after="20"/>
      </w:pPr>
    </w:p>
    <w:p>
      <w:pPr>
        <w:pStyle w:val="Heading1"/>
      </w:pPr>
      <w:r>
        <w:rPr>
          <w:rFonts w:ascii="Liberation Sans" w:hAnsi="Liberation Sans"/>
          <w:b/>
          <w:i w:val="0"/>
          <w:color w:val="1F4E79"/>
        </w:rPr>
        <w:t>7. Alcance del MVP</w:t>
      </w:r>
    </w:p>
    <w:p>
      <w:pPr>
        <w:pStyle w:val="Heading2"/>
      </w:pPr>
      <w:r>
        <w:rPr>
          <w:rFonts w:ascii="Liberation Sans" w:hAnsi="Liberation Sans"/>
          <w:b/>
          <w:i w:val="0"/>
          <w:color w:val="17365D"/>
        </w:rPr>
        <w:t>7.1 Incluido</w:t>
      </w:r>
    </w:p>
    <w:p>
      <w:pPr>
        <w:pStyle w:val="ListBullet"/>
      </w:pPr>
      <w:r>
        <w:rPr>
          <w:rFonts w:ascii="Liberation Sans" w:hAnsi="Liberation Sans"/>
          <w:b w:val="0"/>
          <w:i w:val="0"/>
        </w:rPr>
        <w:t>Registro y autenticación de un negocio, con roles de dueño y cajero (RBAC).</w:t>
      </w:r>
    </w:p>
    <w:p>
      <w:pPr>
        <w:pStyle w:val="ListBullet"/>
      </w:pPr>
      <w:r>
        <w:rPr>
          <w:rFonts w:ascii="Liberation Sans" w:hAnsi="Liberation Sans"/>
          <w:b w:val="0"/>
          <w:i w:val="0"/>
        </w:rPr>
        <w:t>Captura de las notificaciones de pago por una vía que el usuario controle y que lea solo mensajes de pago (ver Q1).</w:t>
      </w:r>
    </w:p>
    <w:p>
      <w:pPr>
        <w:pStyle w:val="ListBullet"/>
      </w:pPr>
      <w:r>
        <w:rPr>
          <w:rFonts w:ascii="Liberation Sans" w:hAnsi="Liberation Sans"/>
          <w:b w:val="0"/>
          <w:i w:val="0"/>
        </w:rPr>
        <w:t>Parsers por emisor (Strategy), con pruebas basadas en muestras reales anonimizadas y autorizadas.</w:t>
      </w:r>
    </w:p>
    <w:p>
      <w:pPr>
        <w:pStyle w:val="ListBullet"/>
      </w:pPr>
      <w:r>
        <w:rPr>
          <w:rFonts w:ascii="Liberation Sans" w:hAnsi="Liberation Sans"/>
          <w:b w:val="0"/>
          <w:i w:val="0"/>
        </w:rPr>
        <w:t>Vista de confirmaciones en tiempo real para el cajero, sin acceso a la cuenta financiera del dueño.</w:t>
      </w:r>
    </w:p>
    <w:p>
      <w:pPr>
        <w:pStyle w:val="ListBullet"/>
      </w:pPr>
      <w:r>
        <w:rPr>
          <w:rFonts w:ascii="Liberation Sans" w:hAnsi="Liberation Sans"/>
          <w:b w:val="0"/>
          <w:i w:val="0"/>
        </w:rPr>
        <w:t>Libro diario unificado de los emisores habilitados por el negocio y conciliación básica con el cobro esperado.</w:t>
      </w:r>
    </w:p>
    <w:p>
      <w:pPr>
        <w:pStyle w:val="ListBullet"/>
      </w:pPr>
      <w:r>
        <w:rPr>
          <w:rFonts w:ascii="Liberation Sans" w:hAnsi="Liberation Sans"/>
          <w:b w:val="0"/>
          <w:i w:val="0"/>
        </w:rPr>
        <w:t>Marca de pagos dudosos como función secundaria, separada de la confirmación operativa.</w:t>
      </w:r>
    </w:p>
    <w:p>
      <w:pPr>
        <w:pStyle w:val="ListBullet"/>
      </w:pPr>
      <w:r>
        <w:rPr>
          <w:rFonts w:ascii="Liberation Sans" w:hAnsi="Liberation Sans"/>
          <w:b w:val="0"/>
          <w:i w:val="0"/>
        </w:rPr>
        <w:t>Registro de auditoría de eventos relevantes.</w:t>
      </w:r>
    </w:p>
    <w:p>
      <w:pPr>
        <w:pStyle w:val="Heading2"/>
      </w:pPr>
      <w:r>
        <w:rPr>
          <w:rFonts w:ascii="Liberation Sans" w:hAnsi="Liberation Sans"/>
          <w:b/>
          <w:i w:val="0"/>
          <w:color w:val="17365D"/>
        </w:rPr>
        <w:t>7.2 Después del MVP</w:t>
      </w:r>
    </w:p>
    <w:p>
      <w:pPr>
        <w:pStyle w:val="ListBullet"/>
      </w:pPr>
      <w:r>
        <w:rPr>
          <w:rFonts w:ascii="Liberation Sans" w:hAnsi="Liberation Sans"/>
          <w:b w:val="0"/>
          <w:i w:val="0"/>
        </w:rPr>
        <w:t>Más emisores y más vías de captura.</w:t>
      </w:r>
    </w:p>
    <w:p>
      <w:pPr>
        <w:pStyle w:val="ListBullet"/>
      </w:pPr>
      <w:r>
        <w:rPr>
          <w:rFonts w:ascii="Liberation Sans" w:hAnsi="Liberation Sans"/>
          <w:b w:val="0"/>
          <w:i w:val="0"/>
        </w:rPr>
        <w:t>Reportes semanales y exportación.</w:t>
      </w:r>
    </w:p>
    <w:p>
      <w:pPr>
        <w:pStyle w:val="ListBullet"/>
      </w:pPr>
      <w:r>
        <w:rPr>
          <w:rFonts w:ascii="Liberation Sans" w:hAnsi="Liberation Sans"/>
          <w:b w:val="0"/>
          <w:i w:val="0"/>
        </w:rPr>
        <w:t>Alertas por patrones sospechosos.</w:t>
      </w:r>
    </w:p>
    <w:p>
      <w:pPr>
        <w:pStyle w:val="ListBullet"/>
      </w:pPr>
      <w:r>
        <w:rPr>
          <w:rFonts w:ascii="Liberation Sans" w:hAnsi="Liberation Sans"/>
          <w:b w:val="0"/>
          <w:i w:val="0"/>
        </w:rPr>
        <w:t>Aplicación móvil dedicada.</w:t>
      </w:r>
    </w:p>
    <w:p>
      <w:pPr>
        <w:pStyle w:val="Heading1"/>
      </w:pPr>
      <w:r>
        <w:rPr>
          <w:rFonts w:ascii="Liberation Sans" w:hAnsi="Liberation Sans"/>
          <w:b/>
          <w:i w:val="0"/>
          <w:color w:val="1F4E79"/>
        </w:rPr>
        <w:t>8. Calidad y gestión de requisitos de producto</w:t>
      </w:r>
    </w:p>
    <w:p>
      <w:pPr/>
      <w:r>
        <w:rPr>
          <w:rFonts w:ascii="Liberation Sans" w:hAnsi="Liberation Sans"/>
          <w:b w:val="0"/>
          <w:i w:val="0"/>
        </w:rPr>
        <w:t>Cada requisito conserva un identificador estable y una traza hacia un objetivo, necesidad, hipótesis o restricción del PRD. Su redacción debe describir un resultado de producto claro y evaluable, separar una necesidad de una decisión de implementación y mantener prioridad, estado y un método de validación propuesto. Los criterios de validación de esta versión son candidatos y requieren revisión con usuarios y responsables del producto.</w:t>
      </w:r>
    </w:p>
    <w:p>
      <w:pPr/>
      <w:r>
        <w:rPr>
          <w:rFonts w:ascii="Liberation Sans" w:hAnsi="Liberation Sans"/>
          <w:b w:val="0"/>
          <w:i w:val="0"/>
        </w:rPr>
        <w:t>“Deberá” expresa un compromiso candidato una vez aprobado y añadido a la línea base del producto; no convierte por sí solo este borrador en una especificación aprobada. [HIP], TBD y “pendiente de evidencia real” mantienen visibles, respectivamente, la falta de evidencia y las decisiones que bloquean una definición estable.</w:t>
      </w:r>
    </w:p>
    <w:p>
      <w:pPr>
        <w:pStyle w:val="Heading1"/>
      </w:pPr>
      <w:r>
        <w:rPr>
          <w:rFonts w:ascii="Liberation Sans" w:hAnsi="Liberation Sans"/>
          <w:b/>
          <w:i w:val="0"/>
          <w:color w:val="1F4E79"/>
        </w:rPr>
        <w:t>9. Requisitos del producto de alto nivel</w:t>
      </w:r>
    </w:p>
    <w:p>
      <w:pPr/>
      <w:r>
        <w:rPr>
          <w:rFonts w:ascii="Liberation Sans" w:hAnsi="Liberation Sans"/>
          <w:b w:val="0"/>
          <w:i w:val="0"/>
        </w:rPr>
        <w:t>Los requisitos siguientes mantienen el nivel de producto propio del PRD. Una especificación de software posterior, si se necesita, podrá desarrollar su comportamiento técnico sin cambiar silenciosamente el alcance aquí planteado. La trazabilidad de detalle se mantiene candidata hacia el SRS CNF-SRS-001 v0.4.</w:t>
      </w:r>
    </w:p>
    <w:p>
      <w:pPr>
        <w:pStyle w:val="Heading2"/>
      </w:pPr>
      <w:r>
        <w:rPr>
          <w:rFonts w:ascii="Liberation Sans" w:hAnsi="Liberation Sans"/>
          <w:b/>
          <w:i w:val="0"/>
          <w:color w:val="17365D"/>
        </w:rPr>
        <w:t>9.1 Requisitos funcionales</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tblGrid>
      <w:tr>
        <w:trPr>
          <w:tblHeader w:val="true"/>
        </w:trPr>
        <w:tc>
          <w:tcPr>
            <w:tcW w:type="dxa" w:w="792"/>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6"/>
              </w:rPr>
              <w:t>ID</w:t>
            </w:r>
          </w:p>
        </w:tc>
        <w:tc>
          <w:tcPr>
            <w:tcW w:type="dxa" w:w="3384"/>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6"/>
              </w:rPr>
              <w:t>Requisito de producto</w:t>
            </w:r>
          </w:p>
        </w:tc>
        <w:tc>
          <w:tcPr>
            <w:tcW w:type="dxa" w:w="1584"/>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6"/>
              </w:rPr>
              <w:t>Traza</w:t>
            </w:r>
          </w:p>
        </w:tc>
        <w:tc>
          <w:tcPr>
            <w:tcW w:type="dxa" w:w="3960"/>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6"/>
              </w:rPr>
              <w:t>Validación propuesta</w:t>
            </w:r>
          </w:p>
        </w:tc>
        <w:tc>
          <w:tcPr>
            <w:tcW w:type="dxa" w:w="792"/>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6"/>
              </w:rPr>
              <w:t>Prioridad</w:t>
            </w:r>
          </w:p>
        </w:tc>
      </w:tr>
      <w:tr>
        <w:trPr>
          <w:cantSplit/>
        </w:trPr>
        <w:tc>
          <w:tcPr>
            <w:tcW w:type="dxa" w:w="792"/>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RF-01</w:t>
            </w:r>
          </w:p>
        </w:tc>
        <w:tc>
          <w:tcPr>
            <w:tcW w:type="dxa" w:w="3384"/>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El producto deberá recibir notificaciones de pago por la vía aprobada y normalizar monto, fecha, emisor y referencia cuando estén presentes.</w:t>
            </w:r>
          </w:p>
        </w:tc>
        <w:tc>
          <w:tcPr>
            <w:tcW w:type="dxa" w:w="1584"/>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O1; S1; Q1</w:t>
            </w:r>
          </w:p>
        </w:tc>
        <w:tc>
          <w:tcPr>
            <w:tcW w:type="dxa" w:w="396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Probar con muestras autorizadas del canal elegido; comparar campos disponibles y comprobar que no se inventan datos ausentes.</w:t>
            </w:r>
          </w:p>
        </w:tc>
        <w:tc>
          <w:tcPr>
            <w:tcW w:type="dxa" w:w="792"/>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Alta</w:t>
            </w:r>
          </w:p>
        </w:tc>
      </w:tr>
      <w:tr>
        <w:trPr>
          <w:cantSplit/>
        </w:trPr>
        <w:tc>
          <w:tcPr>
            <w:tcW w:type="dxa" w:w="792"/>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RF-02</w:t>
            </w:r>
          </w:p>
        </w:tc>
        <w:tc>
          <w:tcPr>
            <w:tcW w:type="dxa" w:w="3384"/>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El producto deberá evitar que la misma notificación se registre como más de un pago.</w:t>
            </w:r>
          </w:p>
        </w:tc>
        <w:tc>
          <w:tcPr>
            <w:tcW w:type="dxa" w:w="1584"/>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P1; RNF-03</w:t>
            </w:r>
          </w:p>
        </w:tc>
        <w:tc>
          <w:tcPr>
            <w:tcW w:type="dxa" w:w="3960"/>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Reprocesar una notificación y comprobar que el libro conserva un único pago.</w:t>
            </w:r>
          </w:p>
        </w:tc>
        <w:tc>
          <w:tcPr>
            <w:tcW w:type="dxa" w:w="792"/>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Alta</w:t>
            </w:r>
          </w:p>
        </w:tc>
      </w:tr>
      <w:tr>
        <w:trPr>
          <w:cantSplit/>
        </w:trPr>
        <w:tc>
          <w:tcPr>
            <w:tcW w:type="dxa" w:w="792"/>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RF-03</w:t>
            </w:r>
          </w:p>
        </w:tc>
        <w:tc>
          <w:tcPr>
            <w:tcW w:type="dxa" w:w="3384"/>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El cajero deberá consultar el estado de cada cobro sin acceder a la cuenta financiera del dueño.</w:t>
            </w:r>
          </w:p>
        </w:tc>
        <w:tc>
          <w:tcPr>
            <w:tcW w:type="dxa" w:w="1584"/>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O1; usuario cajero</w:t>
            </w:r>
          </w:p>
        </w:tc>
        <w:tc>
          <w:tcPr>
            <w:tcW w:type="dxa" w:w="396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Probar consulta con rol de cajero y denegar funciones exclusivas del dueño.</w:t>
            </w:r>
          </w:p>
        </w:tc>
        <w:tc>
          <w:tcPr>
            <w:tcW w:type="dxa" w:w="792"/>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Alta</w:t>
            </w:r>
          </w:p>
        </w:tc>
      </w:tr>
      <w:tr>
        <w:trPr>
          <w:cantSplit/>
        </w:trPr>
        <w:tc>
          <w:tcPr>
            <w:tcW w:type="dxa" w:w="792"/>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RF-04</w:t>
            </w:r>
          </w:p>
        </w:tc>
        <w:tc>
          <w:tcPr>
            <w:tcW w:type="dxa" w:w="3384"/>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El producto deberá permitir asociar un cobro esperado con un pago recibido.</w:t>
            </w:r>
          </w:p>
        </w:tc>
        <w:tc>
          <w:tcPr>
            <w:tcW w:type="dxa" w:w="1584"/>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O2; Q3</w:t>
            </w:r>
          </w:p>
        </w:tc>
        <w:tc>
          <w:tcPr>
            <w:tcW w:type="dxa" w:w="3960"/>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Asociar un cobro y un pago de prueba y consultar la relación guardada.</w:t>
            </w:r>
          </w:p>
        </w:tc>
        <w:tc>
          <w:tcPr>
            <w:tcW w:type="dxa" w:w="792"/>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Alta</w:t>
            </w:r>
          </w:p>
        </w:tc>
      </w:tr>
      <w:tr>
        <w:trPr>
          <w:cantSplit/>
        </w:trPr>
        <w:tc>
          <w:tcPr>
            <w:tcW w:type="dxa" w:w="792"/>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RF-05</w:t>
            </w:r>
          </w:p>
        </w:tc>
        <w:tc>
          <w:tcPr>
            <w:tcW w:type="dxa" w:w="3384"/>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El producto deberá presentar un libro diario unificado por negocio con pagos de los emisores habilitados.</w:t>
            </w:r>
          </w:p>
        </w:tc>
        <w:tc>
          <w:tcPr>
            <w:tcW w:type="dxa" w:w="1584"/>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O2; O3</w:t>
            </w:r>
          </w:p>
        </w:tc>
        <w:tc>
          <w:tcPr>
            <w:tcW w:type="dxa" w:w="396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Comprobar que pagos de cada emisor habilitado aparecen en el mismo libro y permanecen separados por negocio.</w:t>
            </w:r>
          </w:p>
        </w:tc>
        <w:tc>
          <w:tcPr>
            <w:tcW w:type="dxa" w:w="792"/>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Alta</w:t>
            </w:r>
          </w:p>
        </w:tc>
      </w:tr>
      <w:tr>
        <w:trPr>
          <w:cantSplit/>
        </w:trPr>
        <w:tc>
          <w:tcPr>
            <w:tcW w:type="dxa" w:w="792"/>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RF-06</w:t>
            </w:r>
          </w:p>
        </w:tc>
        <w:tc>
          <w:tcPr>
            <w:tcW w:type="dxa" w:w="3384"/>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El producto deberá mantener aislados los datos de cada negocio.</w:t>
            </w:r>
          </w:p>
        </w:tc>
        <w:tc>
          <w:tcPr>
            <w:tcW w:type="dxa" w:w="1584"/>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RNF-01; R3</w:t>
            </w:r>
          </w:p>
        </w:tc>
        <w:tc>
          <w:tcPr>
            <w:tcW w:type="dxa" w:w="3960"/>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Ejecutar consultas cruzadas entre dos negocios y comprobar que los datos ajenos no se muestran ni modifican.</w:t>
            </w:r>
          </w:p>
        </w:tc>
        <w:tc>
          <w:tcPr>
            <w:tcW w:type="dxa" w:w="792"/>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Alta</w:t>
            </w:r>
          </w:p>
        </w:tc>
      </w:tr>
      <w:tr>
        <w:trPr>
          <w:cantSplit/>
        </w:trPr>
        <w:tc>
          <w:tcPr>
            <w:tcW w:type="dxa" w:w="792"/>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RF-07</w:t>
            </w:r>
          </w:p>
        </w:tc>
        <w:tc>
          <w:tcPr>
            <w:tcW w:type="dxa" w:w="3384"/>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El dueño deberá poder crear y revocar cajeros con permisos limitados a las funciones aprobadas para ese rol.</w:t>
            </w:r>
          </w:p>
        </w:tc>
        <w:tc>
          <w:tcPr>
            <w:tcW w:type="dxa" w:w="1584"/>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O1; usuario dueño</w:t>
            </w:r>
          </w:p>
        </w:tc>
        <w:tc>
          <w:tcPr>
            <w:tcW w:type="dxa" w:w="396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Crear y revocar una cuenta de prueba; comprobar permisos antes y después. Catálogo de permisos: TBD.</w:t>
            </w:r>
          </w:p>
        </w:tc>
        <w:tc>
          <w:tcPr>
            <w:tcW w:type="dxa" w:w="792"/>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Alta</w:t>
            </w:r>
          </w:p>
        </w:tc>
      </w:tr>
      <w:tr>
        <w:trPr>
          <w:cantSplit/>
        </w:trPr>
        <w:tc>
          <w:tcPr>
            <w:tcW w:type="dxa" w:w="792"/>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RF-08</w:t>
            </w:r>
          </w:p>
        </w:tc>
        <w:tc>
          <w:tcPr>
            <w:tcW w:type="dxa" w:w="3384"/>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El producto deberá señalar para revisión pagos cuyo monto o referencia disponible no coincida con el cobro esperado.</w:t>
            </w:r>
          </w:p>
        </w:tc>
        <w:tc>
          <w:tcPr>
            <w:tcW w:type="dxa" w:w="1584"/>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O4; Q3</w:t>
            </w:r>
          </w:p>
        </w:tc>
        <w:tc>
          <w:tcPr>
            <w:tcW w:type="dxa" w:w="3960"/>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Probar casos coincidentes y discrepantes; confirmar que la discrepancia se presenta como dudosa y no como confirmación.</w:t>
            </w:r>
          </w:p>
        </w:tc>
        <w:tc>
          <w:tcPr>
            <w:tcW w:type="dxa" w:w="792"/>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Media</w:t>
            </w:r>
          </w:p>
        </w:tc>
      </w:tr>
    </w:tbl>
    <w:p>
      <w:pPr>
        <w:spacing w:after="20"/>
      </w:pPr>
    </w:p>
    <w:p>
      <w:pPr>
        <w:pStyle w:val="Heading2"/>
      </w:pPr>
      <w:r>
        <w:rPr>
          <w:rFonts w:ascii="Liberation Sans" w:hAnsi="Liberation Sans"/>
          <w:b/>
          <w:i w:val="0"/>
          <w:color w:val="17365D"/>
        </w:rPr>
        <w:t>9.2 Requisitos de calidad</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tblGrid>
      <w:tr>
        <w:trPr>
          <w:tblHeader w:val="true"/>
        </w:trPr>
        <w:tc>
          <w:tcPr>
            <w:tcW w:type="dxa" w:w="792"/>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6"/>
              </w:rPr>
              <w:t>ID</w:t>
            </w:r>
          </w:p>
        </w:tc>
        <w:tc>
          <w:tcPr>
            <w:tcW w:type="dxa" w:w="3384"/>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6"/>
              </w:rPr>
              <w:t>Requisito de calidad</w:t>
            </w:r>
          </w:p>
        </w:tc>
        <w:tc>
          <w:tcPr>
            <w:tcW w:type="dxa" w:w="1584"/>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6"/>
              </w:rPr>
              <w:t>Traza</w:t>
            </w:r>
          </w:p>
        </w:tc>
        <w:tc>
          <w:tcPr>
            <w:tcW w:type="dxa" w:w="3960"/>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6"/>
              </w:rPr>
              <w:t>Validación propuesta</w:t>
            </w:r>
          </w:p>
        </w:tc>
        <w:tc>
          <w:tcPr>
            <w:tcW w:type="dxa" w:w="792"/>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6"/>
              </w:rPr>
              <w:t>Prioridad</w:t>
            </w:r>
          </w:p>
        </w:tc>
      </w:tr>
      <w:tr>
        <w:trPr>
          <w:cantSplit/>
        </w:trPr>
        <w:tc>
          <w:tcPr>
            <w:tcW w:type="dxa" w:w="792"/>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RNF-01</w:t>
            </w:r>
          </w:p>
        </w:tc>
        <w:tc>
          <w:tcPr>
            <w:tcW w:type="dxa" w:w="3384"/>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Los datos de un negocio no deberán quedar accesibles para usuarios de otros negocios.</w:t>
            </w:r>
          </w:p>
        </w:tc>
        <w:tc>
          <w:tcPr>
            <w:tcW w:type="dxa" w:w="1584"/>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RF-06; R3</w:t>
            </w:r>
          </w:p>
        </w:tc>
        <w:tc>
          <w:tcPr>
            <w:tcW w:type="dxa" w:w="396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Pruebas negativas de autorización entre negocios sobre consultas y cambios del MVP.</w:t>
            </w:r>
          </w:p>
        </w:tc>
        <w:tc>
          <w:tcPr>
            <w:tcW w:type="dxa" w:w="792"/>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Alta</w:t>
            </w:r>
          </w:p>
        </w:tc>
      </w:tr>
      <w:tr>
        <w:trPr>
          <w:cantSplit/>
        </w:trPr>
        <w:tc>
          <w:tcPr>
            <w:tcW w:type="dxa" w:w="792"/>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RNF-02</w:t>
            </w:r>
          </w:p>
        </w:tc>
        <w:tc>
          <w:tcPr>
            <w:tcW w:type="dxa" w:w="3384"/>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El producto deberá minimizar datos personales y sujetar su tratamiento a revisión de las obligaciones aplicables, incluida la Ley 1581 de 2012.</w:t>
            </w:r>
          </w:p>
        </w:tc>
        <w:tc>
          <w:tcPr>
            <w:tcW w:type="dxa" w:w="1584"/>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R3; privacidad</w:t>
            </w:r>
          </w:p>
        </w:tc>
        <w:tc>
          <w:tcPr>
            <w:tcW w:type="dxa" w:w="3960"/>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Revisar inventario, propósito, acceso y retención de datos; someter aplicabilidad normativa a revisión jurídica.</w:t>
            </w:r>
          </w:p>
        </w:tc>
        <w:tc>
          <w:tcPr>
            <w:tcW w:type="dxa" w:w="792"/>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Alta</w:t>
            </w:r>
          </w:p>
        </w:tc>
      </w:tr>
      <w:tr>
        <w:trPr>
          <w:cantSplit/>
        </w:trPr>
        <w:tc>
          <w:tcPr>
            <w:tcW w:type="dxa" w:w="792"/>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RNF-03</w:t>
            </w:r>
          </w:p>
        </w:tc>
        <w:tc>
          <w:tcPr>
            <w:tcW w:type="dxa" w:w="3384"/>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El procesamiento deberá tolerar reintentos y fallos parciales sin perder ni duplicar pagos.</w:t>
            </w:r>
          </w:p>
        </w:tc>
        <w:tc>
          <w:tcPr>
            <w:tcW w:type="dxa" w:w="1584"/>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P1; RF-02</w:t>
            </w:r>
          </w:p>
        </w:tc>
        <w:tc>
          <w:tcPr>
            <w:tcW w:type="dxa" w:w="396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Simular fallos antes, durante y después del procesamiento; comprobar recuperación e integridad sin duplicados.</w:t>
            </w:r>
          </w:p>
        </w:tc>
        <w:tc>
          <w:tcPr>
            <w:tcW w:type="dxa" w:w="792"/>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Alta</w:t>
            </w:r>
          </w:p>
        </w:tc>
      </w:tr>
      <w:tr>
        <w:trPr>
          <w:cantSplit/>
        </w:trPr>
        <w:tc>
          <w:tcPr>
            <w:tcW w:type="dxa" w:w="792"/>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RNF-04</w:t>
            </w:r>
          </w:p>
        </w:tc>
        <w:tc>
          <w:tcPr>
            <w:tcW w:type="dxa" w:w="3384"/>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Las acciones sensibles incluidas en el alcance deberán dejar un registro de auditoría consultable según permisos aprobados.</w:t>
            </w:r>
          </w:p>
        </w:tc>
        <w:tc>
          <w:tcPr>
            <w:tcW w:type="dxa" w:w="1584"/>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P2; seguridad</w:t>
            </w:r>
          </w:p>
        </w:tc>
        <w:tc>
          <w:tcPr>
            <w:tcW w:type="dxa" w:w="3960"/>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Definir catálogo de acciones y comprobar que cada acción genera actor, acción y momento de registro.</w:t>
            </w:r>
          </w:p>
        </w:tc>
        <w:tc>
          <w:tcPr>
            <w:tcW w:type="dxa" w:w="792"/>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Media</w:t>
            </w:r>
          </w:p>
        </w:tc>
      </w:tr>
    </w:tbl>
    <w:p>
      <w:pPr>
        <w:spacing w:after="20"/>
      </w:pPr>
    </w:p>
    <w:p>
      <w:pPr>
        <w:pStyle w:val="Heading2"/>
      </w:pPr>
      <w:r>
        <w:rPr>
          <w:rFonts w:ascii="Liberation Sans" w:hAnsi="Liberation Sans"/>
          <w:b/>
          <w:i w:val="0"/>
          <w:color w:val="17365D"/>
        </w:rPr>
        <w:t>9.3 Trazabilidad de objetivos del producto</w:t>
      </w:r>
    </w:p>
    <w:tbl>
      <w:tblPr>
        <w:tblStyle w:val="TableGrid"/>
        <w:tblW w:type="auto" w:w="0"/>
        <w:jc w:val="center"/>
        <w:tblLayout w:type="fixed"/>
        <w:tblLook w:firstColumn="1" w:firstRow="1" w:lastColumn="0" w:lastRow="0" w:noHBand="0" w:noVBand="1" w:val="04A0"/>
      </w:tblPr>
      <w:tblGrid>
        <w:gridCol w:w="2880"/>
        <w:gridCol w:w="2880"/>
        <w:gridCol w:w="2880"/>
      </w:tblGrid>
      <w:tr>
        <w:trPr>
          <w:tblHeader w:val="true"/>
        </w:trPr>
        <w:tc>
          <w:tcPr>
            <w:tcW w:type="dxa" w:w="2880"/>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7"/>
              </w:rPr>
              <w:t>Objetivo / necesidad</w:t>
            </w:r>
          </w:p>
        </w:tc>
        <w:tc>
          <w:tcPr>
            <w:tcW w:type="dxa" w:w="3168"/>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7"/>
              </w:rPr>
              <w:t>Requisitos relacionados</w:t>
            </w:r>
          </w:p>
        </w:tc>
        <w:tc>
          <w:tcPr>
            <w:tcW w:type="dxa" w:w="4464"/>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7"/>
              </w:rPr>
              <w:t>Cobertura que falta validar</w:t>
            </w:r>
          </w:p>
        </w:tc>
      </w:tr>
      <w:tr>
        <w:trPr>
          <w:cantSplit/>
        </w:trPr>
        <w:tc>
          <w:tcPr>
            <w:tcW w:type="dxa" w:w="288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O1 · confirmar sin acceso a cuenta</w:t>
            </w:r>
          </w:p>
        </w:tc>
        <w:tc>
          <w:tcPr>
            <w:tcW w:type="dxa" w:w="3168"/>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RF-01, RF-02, RF-03, RF-07; RNF-01</w:t>
            </w:r>
          </w:p>
        </w:tc>
        <w:tc>
          <w:tcPr>
            <w:tcW w:type="dxa" w:w="4464"/>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Canal de captura, latencia y permisos del cajero.</w:t>
            </w:r>
          </w:p>
        </w:tc>
      </w:tr>
      <w:tr>
        <w:trPr>
          <w:cantSplit/>
        </w:trPr>
        <w:tc>
          <w:tcPr>
            <w:tcW w:type="dxa" w:w="2880"/>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O2 · libro diario</w:t>
            </w:r>
          </w:p>
        </w:tc>
        <w:tc>
          <w:tcPr>
            <w:tcW w:type="dxa" w:w="3168"/>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RF-04, RF-05</w:t>
            </w:r>
          </w:p>
        </w:tc>
        <w:tc>
          <w:tcPr>
            <w:tcW w:type="dxa" w:w="4464"/>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Reglas de conciliación y emisores del MVP.</w:t>
            </w:r>
          </w:p>
        </w:tc>
      </w:tr>
      <w:tr>
        <w:trPr>
          <w:cantSplit/>
        </w:trPr>
        <w:tc>
          <w:tcPr>
            <w:tcW w:type="dxa" w:w="288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O3 · no cambiar de banco o billetera</w:t>
            </w:r>
          </w:p>
        </w:tc>
        <w:tc>
          <w:tcPr>
            <w:tcW w:type="dxa" w:w="3168"/>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RF-01, RF-05</w:t>
            </w:r>
          </w:p>
        </w:tc>
        <w:tc>
          <w:tcPr>
            <w:tcW w:type="dxa" w:w="4464"/>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Compatibilidad real de la vía de captura.</w:t>
            </w:r>
          </w:p>
        </w:tc>
      </w:tr>
      <w:tr>
        <w:trPr>
          <w:cantSplit/>
        </w:trPr>
        <w:tc>
          <w:tcPr>
            <w:tcW w:type="dxa" w:w="2880"/>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O4 · pagos dudosos</w:t>
            </w:r>
          </w:p>
        </w:tc>
        <w:tc>
          <w:tcPr>
            <w:tcW w:type="dxa" w:w="3168"/>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RF-08</w:t>
            </w:r>
          </w:p>
        </w:tc>
        <w:tc>
          <w:tcPr>
            <w:tcW w:type="dxa" w:w="4464"/>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Umbrales, datos faltantes y flujo de revisión.</w:t>
            </w:r>
          </w:p>
        </w:tc>
      </w:tr>
      <w:tr>
        <w:trPr>
          <w:cantSplit/>
        </w:trPr>
        <w:tc>
          <w:tcPr>
            <w:tcW w:type="dxa" w:w="288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P1 · ingesta asíncrona</w:t>
            </w:r>
          </w:p>
        </w:tc>
        <w:tc>
          <w:tcPr>
            <w:tcW w:type="dxa" w:w="3168"/>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RF-01, RF-02; RNF-03</w:t>
            </w:r>
          </w:p>
        </w:tc>
        <w:tc>
          <w:tcPr>
            <w:tcW w:type="dxa" w:w="4464"/>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Arquitectura técnica se define después de seleccionar el canal.</w:t>
            </w:r>
          </w:p>
        </w:tc>
      </w:tr>
      <w:tr>
        <w:trPr>
          <w:cantSplit/>
        </w:trPr>
        <w:tc>
          <w:tcPr>
            <w:tcW w:type="dxa" w:w="2880"/>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P2 · seguridad y privacidad</w:t>
            </w:r>
          </w:p>
        </w:tc>
        <w:tc>
          <w:tcPr>
            <w:tcW w:type="dxa" w:w="3168"/>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RF-06; RNF-01, RNF-02, RNF-04</w:t>
            </w:r>
          </w:p>
        </w:tc>
        <w:tc>
          <w:tcPr>
            <w:tcW w:type="dxa" w:w="4464"/>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Modelo de amenazas, datos mínimos y eventos sensibles.</w:t>
            </w:r>
          </w:p>
        </w:tc>
      </w:tr>
      <w:tr>
        <w:trPr>
          <w:cantSplit/>
        </w:trPr>
        <w:tc>
          <w:tcPr>
            <w:tcW w:type="dxa" w:w="288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P3 · producto desplegado y medido</w:t>
            </w:r>
          </w:p>
        </w:tc>
        <w:tc>
          <w:tcPr>
            <w:tcW w:type="dxa" w:w="3168"/>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Métricas de éxito; H0.2–H0.5</w:t>
            </w:r>
          </w:p>
        </w:tc>
        <w:tc>
          <w:tcPr>
            <w:tcW w:type="dxa" w:w="4464"/>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Criterios de salida del piloto y decisiones de continuación.</w:t>
            </w:r>
          </w:p>
        </w:tc>
      </w:tr>
    </w:tbl>
    <w:p>
      <w:pPr>
        <w:spacing w:after="20"/>
      </w:pPr>
    </w:p>
    <w:p>
      <w:pPr>
        <w:pStyle w:val="Heading1"/>
      </w:pPr>
      <w:r>
        <w:rPr>
          <w:rFonts w:ascii="Liberation Sans" w:hAnsi="Liberation Sans"/>
          <w:b/>
          <w:i w:val="0"/>
          <w:color w:val="1F4E79"/>
        </w:rPr>
        <w:t>10. Supuestos, restricciones y dependencias</w:t>
      </w:r>
    </w:p>
    <w:p>
      <w:pPr>
        <w:pStyle w:val="ListBullet"/>
      </w:pPr>
      <w:r>
        <w:rPr>
          <w:rFonts w:ascii="Liberation Sans" w:hAnsi="Liberation Sans"/>
          <w:b w:val="0"/>
          <w:i w:val="0"/>
        </w:rPr>
        <w:t>Supuesto S1 [HIP]: las notificaciones de los emisores seleccionados incluyen monto, fecha e identificador suficientes para confirmar un pago.</w:t>
      </w:r>
    </w:p>
    <w:p>
      <w:pPr>
        <w:pStyle w:val="ListBullet"/>
      </w:pPr>
      <w:r>
        <w:rPr>
          <w:rFonts w:ascii="Liberation Sans" w:hAnsi="Liberation Sans"/>
          <w:b w:val="0"/>
          <w:i w:val="0"/>
        </w:rPr>
        <w:t>Supuesto S2 [HIP]: el usuario acepta compartir esas notificaciones mediante una vía sencilla y controlada.</w:t>
      </w:r>
    </w:p>
    <w:p>
      <w:pPr>
        <w:pStyle w:val="ListBullet"/>
      </w:pPr>
      <w:r>
        <w:rPr>
          <w:rFonts w:ascii="Liberation Sans" w:hAnsi="Liberation Sans"/>
          <w:b w:val="0"/>
          <w:i w:val="0"/>
        </w:rPr>
        <w:t>Restricción R1: no hay API oficial disponible para este fin; los formatos de mensaje pueden cambiar sin aviso.</w:t>
      </w:r>
    </w:p>
    <w:p>
      <w:pPr>
        <w:pStyle w:val="ListBullet"/>
      </w:pPr>
      <w:r>
        <w:rPr>
          <w:rFonts w:ascii="Liberation Sans" w:hAnsi="Liberation Sans"/>
          <w:b w:val="0"/>
          <w:i w:val="0"/>
        </w:rPr>
        <w:t>Restricción R2: hay un solo desarrollador; cada fase debe ser acotada y finalizable.</w:t>
      </w:r>
    </w:p>
    <w:p>
      <w:pPr>
        <w:pStyle w:val="ListBullet"/>
      </w:pPr>
      <w:r>
        <w:rPr>
          <w:rFonts w:ascii="Liberation Sans" w:hAnsi="Liberation Sans"/>
          <w:b w:val="0"/>
          <w:i w:val="0"/>
        </w:rPr>
        <w:t>Restricción R3 / Dependencia D1: los datos de pagos son sensibles y debe minimizarse su almacenamiento; se requieren muestras reales anonimizadas de cuentas propias o con consentimiento expreso.</w:t>
      </w:r>
    </w:p>
    <w:p>
      <w:pPr>
        <w:pStyle w:val="Heading1"/>
      </w:pPr>
      <w:r>
        <w:rPr>
          <w:rFonts w:ascii="Liberation Sans" w:hAnsi="Liberation Sans"/>
          <w:b/>
          <w:i w:val="0"/>
          <w:color w:val="1F4E79"/>
        </w:rPr>
        <w:t>11. Riesgos iniciales</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tblGrid>
      <w:tr>
        <w:trPr>
          <w:tblHeader w:val="true"/>
        </w:trPr>
        <w:tc>
          <w:tcPr>
            <w:tcW w:type="dxa" w:w="720"/>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6"/>
              </w:rPr>
              <w:t>ID</w:t>
            </w:r>
          </w:p>
        </w:tc>
        <w:tc>
          <w:tcPr>
            <w:tcW w:type="dxa" w:w="3816"/>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6"/>
              </w:rPr>
              <w:t>Riesgo</w:t>
            </w:r>
          </w:p>
        </w:tc>
        <w:tc>
          <w:tcPr>
            <w:tcW w:type="dxa" w:w="936"/>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6"/>
              </w:rPr>
              <w:t>Prob.</w:t>
            </w:r>
          </w:p>
        </w:tc>
        <w:tc>
          <w:tcPr>
            <w:tcW w:type="dxa" w:w="1007"/>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6"/>
              </w:rPr>
              <w:t>Impacto</w:t>
            </w:r>
          </w:p>
        </w:tc>
        <w:tc>
          <w:tcPr>
            <w:tcW w:type="dxa" w:w="4031"/>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6"/>
              </w:rPr>
              <w:t>Mitigación inicial</w:t>
            </w:r>
          </w:p>
        </w:tc>
      </w:tr>
      <w:tr>
        <w:trPr>
          <w:cantSplit/>
        </w:trPr>
        <w:tc>
          <w:tcPr>
            <w:tcW w:type="dxa" w:w="72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RK1</w:t>
            </w:r>
          </w:p>
        </w:tc>
        <w:tc>
          <w:tcPr>
            <w:tcW w:type="dxa" w:w="3816"/>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Los hallazgos de S-0.1 no coinciden con la realidad de campo.</w:t>
            </w:r>
          </w:p>
        </w:tc>
        <w:tc>
          <w:tcPr>
            <w:tcW w:type="dxa" w:w="936"/>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Media</w:t>
            </w:r>
          </w:p>
        </w:tc>
        <w:tc>
          <w:tcPr>
            <w:tcW w:type="dxa" w:w="1007"/>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Alto</w:t>
            </w:r>
          </w:p>
        </w:tc>
        <w:tc>
          <w:tcPr>
            <w:tcW w:type="dxa" w:w="4031"/>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Contrastar con entrevistas y actualizar el PRD antes de aprobar una línea base de producto.</w:t>
            </w:r>
          </w:p>
        </w:tc>
      </w:tr>
      <w:tr>
        <w:trPr>
          <w:cantSplit/>
        </w:trPr>
        <w:tc>
          <w:tcPr>
            <w:tcW w:type="dxa" w:w="720"/>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RK2</w:t>
            </w:r>
          </w:p>
        </w:tc>
        <w:tc>
          <w:tcPr>
            <w:tcW w:type="dxa" w:w="3816"/>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Los formatos de notificación cambian y rompen los parsers.</w:t>
            </w:r>
          </w:p>
        </w:tc>
        <w:tc>
          <w:tcPr>
            <w:tcW w:type="dxa" w:w="936"/>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Alta</w:t>
            </w:r>
          </w:p>
        </w:tc>
        <w:tc>
          <w:tcPr>
            <w:tcW w:type="dxa" w:w="1007"/>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Medio</w:t>
            </w:r>
          </w:p>
        </w:tc>
        <w:tc>
          <w:tcPr>
            <w:tcW w:type="dxa" w:w="4031"/>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Parsers aislados con pruebas y alertas cuando una notificación no se reconoce.</w:t>
            </w:r>
          </w:p>
        </w:tc>
      </w:tr>
      <w:tr>
        <w:trPr>
          <w:cantSplit/>
        </w:trPr>
        <w:tc>
          <w:tcPr>
            <w:tcW w:type="dxa" w:w="72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RK3</w:t>
            </w:r>
          </w:p>
        </w:tc>
        <w:tc>
          <w:tcPr>
            <w:tcW w:type="dxa" w:w="3816"/>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La vía de captura tiene restricciones de la plataforma (por ejemplo, permisos de acceso al correo).</w:t>
            </w:r>
          </w:p>
        </w:tc>
        <w:tc>
          <w:tcPr>
            <w:tcW w:type="dxa" w:w="936"/>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Media</w:t>
            </w:r>
          </w:p>
        </w:tc>
        <w:tc>
          <w:tcPr>
            <w:tcW w:type="dxa" w:w="1007"/>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Alto</w:t>
            </w:r>
          </w:p>
        </w:tc>
        <w:tc>
          <w:tcPr>
            <w:tcW w:type="dxa" w:w="4031"/>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Spike técnico antes de comprometer la arquitectura; ADR de la vía elegida.</w:t>
            </w:r>
          </w:p>
        </w:tc>
      </w:tr>
      <w:tr>
        <w:trPr>
          <w:cantSplit/>
        </w:trPr>
        <w:tc>
          <w:tcPr>
            <w:tcW w:type="dxa" w:w="720"/>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RK4</w:t>
            </w:r>
          </w:p>
        </w:tc>
        <w:tc>
          <w:tcPr>
            <w:tcW w:type="dxa" w:w="3816"/>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Riesgo de privacidad por manejar datos financieros y rechazo del usuario a compartir su correo.</w:t>
            </w:r>
          </w:p>
        </w:tc>
        <w:tc>
          <w:tcPr>
            <w:tcW w:type="dxa" w:w="936"/>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Alta</w:t>
            </w:r>
          </w:p>
        </w:tc>
        <w:tc>
          <w:tcPr>
            <w:tcW w:type="dxa" w:w="1007"/>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Alto</w:t>
            </w:r>
          </w:p>
        </w:tc>
        <w:tc>
          <w:tcPr>
            <w:tcW w:type="dxa" w:w="4031"/>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Vía controlada por el usuario, minimización, cifrado, política de retención y modelo de amenazas (STRIDE).</w:t>
            </w:r>
          </w:p>
        </w:tc>
      </w:tr>
      <w:tr>
        <w:trPr>
          <w:cantSplit/>
        </w:trPr>
        <w:tc>
          <w:tcPr>
            <w:tcW w:type="dxa" w:w="72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RK5</w:t>
            </w:r>
          </w:p>
        </w:tc>
        <w:tc>
          <w:tcPr>
            <w:tcW w:type="dxa" w:w="3816"/>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Alcance que crece y el proyecto no se termina.</w:t>
            </w:r>
          </w:p>
        </w:tc>
        <w:tc>
          <w:tcPr>
            <w:tcW w:type="dxa" w:w="936"/>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Alta</w:t>
            </w:r>
          </w:p>
        </w:tc>
        <w:tc>
          <w:tcPr>
            <w:tcW w:type="dxa" w:w="1007"/>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Alto</w:t>
            </w:r>
          </w:p>
        </w:tc>
        <w:tc>
          <w:tcPr>
            <w:tcW w:type="dxa" w:w="4031"/>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Fases con definición de terminado y puerta de salida.</w:t>
            </w:r>
          </w:p>
        </w:tc>
      </w:tr>
      <w:tr>
        <w:trPr>
          <w:cantSplit/>
        </w:trPr>
        <w:tc>
          <w:tcPr>
            <w:tcW w:type="dxa" w:w="720"/>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RK6</w:t>
            </w:r>
          </w:p>
        </w:tc>
        <w:tc>
          <w:tcPr>
            <w:tcW w:type="dxa" w:w="3816"/>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Los emisores amplían sus propias herramientas y reducen el valor de Chulito.</w:t>
            </w:r>
          </w:p>
        </w:tc>
        <w:tc>
          <w:tcPr>
            <w:tcW w:type="dxa" w:w="936"/>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Media</w:t>
            </w:r>
          </w:p>
        </w:tc>
        <w:tc>
          <w:tcPr>
            <w:tcW w:type="dxa" w:w="1007"/>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Alto</w:t>
            </w:r>
          </w:p>
        </w:tc>
        <w:tc>
          <w:tcPr>
            <w:tcW w:type="dxa" w:w="4031"/>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Enfocarse en lo que la hipótesis de producto combina: multi-emisor, cajero y cuadre; revisar el panorama antes de cada fase sin afirmar brechas no verificadas.</w:t>
            </w:r>
          </w:p>
        </w:tc>
      </w:tr>
    </w:tbl>
    <w:p>
      <w:pPr>
        <w:spacing w:after="20"/>
      </w:pPr>
    </w:p>
    <w:p>
      <w:pPr>
        <w:pStyle w:val="Heading1"/>
      </w:pPr>
      <w:r>
        <w:rPr>
          <w:rFonts w:ascii="Liberation Sans" w:hAnsi="Liberation Sans"/>
          <w:b/>
          <w:i w:val="0"/>
          <w:color w:val="1F4E79"/>
        </w:rPr>
        <w:t>12. Preguntas abiertas</w:t>
      </w:r>
    </w:p>
    <w:p>
      <w:pPr>
        <w:pStyle w:val="ListBullet"/>
      </w:pPr>
      <w:r>
        <w:rPr>
          <w:rFonts w:ascii="Liberation Sans" w:hAnsi="Liberation Sans"/>
          <w:b w:val="0"/>
          <w:i w:val="0"/>
        </w:rPr>
        <w:t>Q1. ¿Por qué vía se capta la notificación? Según S-0.1, el rechazo a dar acceso total al correo es el freno principal. Opciones: (a) reenvío automático de correos a una dirección del servicio, controlado por el usuario; (b) lectura del correo con autorización limitada; (c) lectura de notificaciones en un dispositivo Android. Se decide con un spike y un ADR; las exigencias de verificación de las plataformas deben revisarse con documentación vigente. Estado: TBD / pendiente de evidencia real.</w:t>
      </w:r>
    </w:p>
    <w:p>
      <w:pPr>
        <w:pStyle w:val="ListBullet"/>
      </w:pPr>
      <w:r>
        <w:rPr>
          <w:rFonts w:ascii="Liberation Sans" w:hAnsi="Liberation Sans"/>
          <w:b w:val="0"/>
          <w:i w:val="0"/>
        </w:rPr>
        <w:t>Q2. ¿Qué emisores cubre el MVP? Depende de qué usan los entrevistados y de las muestras reales disponibles. Estado: TBD.</w:t>
      </w:r>
    </w:p>
    <w:p>
      <w:pPr>
        <w:pStyle w:val="ListBullet"/>
      </w:pPr>
      <w:r>
        <w:rPr>
          <w:rFonts w:ascii="Liberation Sans" w:hAnsi="Liberation Sans"/>
          <w:b w:val="0"/>
          <w:i w:val="0"/>
        </w:rPr>
        <w:t>Q3. ¿La confirmación se hace por monto y hora, o el cajero ingresa una referencia? Depende del flujo real de cobro. Estado: TBD / pendiente de entrevistas.</w:t>
      </w:r>
    </w:p>
    <w:p>
      <w:pPr>
        <w:pStyle w:val="ListBullet"/>
      </w:pPr>
      <w:r>
        <w:rPr>
          <w:rFonts w:ascii="Liberation Sans" w:hAnsi="Liberation Sans"/>
          <w:b w:val="0"/>
          <w:i w:val="0"/>
        </w:rPr>
        <w:t>Q4. ¿Qué modelo de uso se prueba en el piloto (gratuito, por negocio)? No se decide hasta tener evidencia. Estado: TBD.</w:t>
      </w:r>
    </w:p>
    <w:p>
      <w:pPr>
        <w:pStyle w:val="Heading1"/>
      </w:pPr>
      <w:r>
        <w:rPr>
          <w:rFonts w:ascii="Liberation Sans" w:hAnsi="Liberation Sans"/>
          <w:b/>
          <w:i w:val="0"/>
          <w:color w:val="1F4E79"/>
        </w:rPr>
        <w:t>13. Hitos de la Fase 0</w:t>
      </w:r>
    </w:p>
    <w:tbl>
      <w:tblPr>
        <w:tblStyle w:val="TableGrid"/>
        <w:tblW w:type="auto" w:w="0"/>
        <w:jc w:val="center"/>
        <w:tblLayout w:type="fixed"/>
        <w:tblLook w:firstColumn="1" w:firstRow="1" w:lastColumn="0" w:lastRow="0" w:noHBand="0" w:noVBand="1" w:val="04A0"/>
      </w:tblPr>
      <w:tblGrid>
        <w:gridCol w:w="2880"/>
        <w:gridCol w:w="2880"/>
        <w:gridCol w:w="2880"/>
      </w:tblGrid>
      <w:tr>
        <w:trPr>
          <w:tblHeader w:val="true"/>
        </w:trPr>
        <w:tc>
          <w:tcPr>
            <w:tcW w:type="dxa" w:w="936"/>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7"/>
              </w:rPr>
              <w:t>Hito</w:t>
            </w:r>
          </w:p>
        </w:tc>
        <w:tc>
          <w:tcPr>
            <w:tcW w:type="dxa" w:w="4608"/>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7"/>
              </w:rPr>
              <w:t>Entregable</w:t>
            </w:r>
          </w:p>
        </w:tc>
        <w:tc>
          <w:tcPr>
            <w:tcW w:type="dxa" w:w="4464"/>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7"/>
              </w:rPr>
              <w:t>Criterio de salida</w:t>
            </w:r>
          </w:p>
        </w:tc>
      </w:tr>
      <w:tr>
        <w:trPr>
          <w:cantSplit/>
        </w:trPr>
        <w:tc>
          <w:tcPr>
            <w:tcW w:type="dxa" w:w="936"/>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H0.1</w:t>
            </w:r>
          </w:p>
        </w:tc>
        <w:tc>
          <w:tcPr>
            <w:tcW w:type="dxa" w:w="4608"/>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Guía de entrevistas y entrevistas realizadas.</w:t>
            </w:r>
          </w:p>
        </w:tc>
        <w:tc>
          <w:tcPr>
            <w:tcW w:type="dxa" w:w="4464"/>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5 entrevistas registradas; evidencia real disponible.</w:t>
            </w:r>
          </w:p>
        </w:tc>
      </w:tr>
      <w:tr>
        <w:trPr>
          <w:cantSplit/>
        </w:trPr>
        <w:tc>
          <w:tcPr>
            <w:tcW w:type="dxa" w:w="936"/>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H0.2</w:t>
            </w:r>
          </w:p>
        </w:tc>
        <w:tc>
          <w:tcPr>
            <w:tcW w:type="dxa" w:w="4608"/>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PRD v1.0 con hipótesis resueltas.</w:t>
            </w:r>
          </w:p>
        </w:tc>
        <w:tc>
          <w:tcPr>
            <w:tcW w:type="dxa" w:w="4464"/>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Decisión de continuar, replantear o cambiar.</w:t>
            </w:r>
          </w:p>
        </w:tc>
      </w:tr>
      <w:tr>
        <w:trPr>
          <w:cantSplit/>
        </w:trPr>
        <w:tc>
          <w:tcPr>
            <w:tcW w:type="dxa" w:w="936"/>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H0.3</w:t>
            </w:r>
          </w:p>
        </w:tc>
        <w:tc>
          <w:tcPr>
            <w:tcW w:type="dxa" w:w="4608"/>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Especificación de software posterior (si procede), historias de usuario y modelo de datos.</w:t>
            </w:r>
          </w:p>
        </w:tc>
        <w:tc>
          <w:tcPr>
            <w:tcW w:type="dxa" w:w="4464"/>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Trazas desde el PRD y requisitos aprobados; relación con SRS CNF-SRS-001 v0.4 actualizada.</w:t>
            </w:r>
          </w:p>
        </w:tc>
      </w:tr>
      <w:tr>
        <w:trPr>
          <w:cantSplit/>
        </w:trPr>
        <w:tc>
          <w:tcPr>
            <w:tcW w:type="dxa" w:w="936"/>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H0.4</w:t>
            </w:r>
          </w:p>
        </w:tc>
        <w:tc>
          <w:tcPr>
            <w:tcW w:type="dxa" w:w="4608"/>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Arquitectura C4, ADRs iniciales, modelo de amenazas.</w:t>
            </w:r>
          </w:p>
        </w:tc>
        <w:tc>
          <w:tcPr>
            <w:tcW w:type="dxa" w:w="4464"/>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ADR-0001 con la matriz de versiones.</w:t>
            </w:r>
          </w:p>
        </w:tc>
      </w:tr>
      <w:tr>
        <w:trPr>
          <w:cantSplit/>
        </w:trPr>
        <w:tc>
          <w:tcPr>
            <w:tcW w:type="dxa" w:w="936"/>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H0.5</w:t>
            </w:r>
          </w:p>
        </w:tc>
        <w:tc>
          <w:tcPr>
            <w:tcW w:type="dxa" w:w="4608"/>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Spike de compatibilidad y de la vía de captura.</w:t>
            </w:r>
          </w:p>
        </w:tc>
        <w:tc>
          <w:tcPr>
            <w:tcW w:type="dxa" w:w="4464"/>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CI en verde con la matriz fijada.</w:t>
            </w:r>
          </w:p>
        </w:tc>
      </w:tr>
    </w:tbl>
    <w:p>
      <w:pPr>
        <w:spacing w:after="20"/>
      </w:pPr>
    </w:p>
    <w:p>
      <w:pPr>
        <w:pStyle w:val="Heading1"/>
      </w:pPr>
      <w:r>
        <w:rPr>
          <w:rFonts w:ascii="Liberation Sans" w:hAnsi="Liberation Sans"/>
          <w:b/>
          <w:i w:val="0"/>
          <w:color w:val="1F4E79"/>
        </w:rPr>
        <w:t>14. Glosario</w:t>
      </w:r>
    </w:p>
    <w:tbl>
      <w:tblPr>
        <w:tblStyle w:val="TableGrid"/>
        <w:tblW w:type="auto" w:w="0"/>
        <w:jc w:val="center"/>
        <w:tblLayout w:type="fixed"/>
        <w:tblLook w:firstColumn="1" w:firstRow="1" w:lastColumn="0" w:lastRow="0" w:noHBand="0" w:noVBand="1" w:val="04A0"/>
      </w:tblPr>
      <w:tblGrid>
        <w:gridCol w:w="4320"/>
        <w:gridCol w:w="4320"/>
      </w:tblGrid>
      <w:tr>
        <w:trPr>
          <w:tblHeader w:val="true"/>
        </w:trPr>
        <w:tc>
          <w:tcPr>
            <w:tcW w:type="dxa" w:w="2736"/>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7"/>
              </w:rPr>
              <w:t>Término</w:t>
            </w:r>
          </w:p>
        </w:tc>
        <w:tc>
          <w:tcPr>
            <w:tcW w:type="dxa" w:w="7776"/>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7"/>
              </w:rPr>
              <w:t>Definición</w:t>
            </w:r>
          </w:p>
        </w:tc>
      </w:tr>
      <w:tr>
        <w:trPr>
          <w:cantSplit/>
        </w:trPr>
        <w:tc>
          <w:tcPr>
            <w:tcW w:type="dxa" w:w="2736"/>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ADR</w:t>
            </w:r>
          </w:p>
        </w:tc>
        <w:tc>
          <w:tcPr>
            <w:tcW w:type="dxa" w:w="7776"/>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Registro de una decisión de arquitectura, con su contexto y consecuencias.</w:t>
            </w:r>
          </w:p>
        </w:tc>
      </w:tr>
      <w:tr>
        <w:trPr>
          <w:cantSplit/>
        </w:trPr>
        <w:tc>
          <w:tcPr>
            <w:tcW w:type="dxa" w:w="2736"/>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Chulito</w:t>
            </w:r>
          </w:p>
        </w:tc>
        <w:tc>
          <w:tcPr>
            <w:tcW w:type="dxa" w:w="7776"/>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Marca visible del producto en v0.4. En versiones anteriores el proyecto se nombraba Confirma; esa denominación no sustituye las claves históricas.</w:t>
            </w:r>
          </w:p>
        </w:tc>
      </w:tr>
      <w:tr>
        <w:trPr>
          <w:cantSplit/>
        </w:trPr>
        <w:tc>
          <w:tcPr>
            <w:tcW w:type="dxa" w:w="2736"/>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CNF</w:t>
            </w:r>
          </w:p>
        </w:tc>
        <w:tc>
          <w:tcPr>
            <w:tcW w:type="dxa" w:w="7776"/>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Prefijo histórico de la serie documental asociado a Confirma. Se conserva en claves como CNF-PRD-001 y CNF-SRS-001 para trazabilidad, aunque la marca visible actual es Chulito.</w:t>
            </w:r>
          </w:p>
        </w:tc>
      </w:tr>
      <w:tr>
        <w:trPr>
          <w:cantSplit/>
        </w:trPr>
        <w:tc>
          <w:tcPr>
            <w:tcW w:type="dxa" w:w="2736"/>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Conciliación</w:t>
            </w:r>
          </w:p>
        </w:tc>
        <w:tc>
          <w:tcPr>
            <w:tcW w:type="dxa" w:w="7776"/>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Emparejar un cobro esperado con un pago recibido.</w:t>
            </w:r>
          </w:p>
        </w:tc>
      </w:tr>
      <w:tr>
        <w:trPr>
          <w:cantSplit/>
        </w:trPr>
        <w:tc>
          <w:tcPr>
            <w:tcW w:type="dxa" w:w="2736"/>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Idempotencia</w:t>
            </w:r>
          </w:p>
        </w:tc>
        <w:tc>
          <w:tcPr>
            <w:tcW w:type="dxa" w:w="7776"/>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Propiedad por la cual procesar el mismo mensaje varias veces produce el mismo resultado que procesarlo una sola vez.</w:t>
            </w:r>
          </w:p>
        </w:tc>
      </w:tr>
      <w:tr>
        <w:trPr>
          <w:cantSplit/>
        </w:trPr>
        <w:tc>
          <w:tcPr>
            <w:tcW w:type="dxa" w:w="2736"/>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Multi-tenant</w:t>
            </w:r>
          </w:p>
        </w:tc>
        <w:tc>
          <w:tcPr>
            <w:tcW w:type="dxa" w:w="7776"/>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Un mismo sistema que atiende a varios negocios manteniendo sus datos aislados.</w:t>
            </w:r>
          </w:p>
        </w:tc>
      </w:tr>
      <w:tr>
        <w:trPr>
          <w:cantSplit/>
        </w:trPr>
        <w:tc>
          <w:tcPr>
            <w:tcW w:type="dxa" w:w="2736"/>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Parser</w:t>
            </w:r>
          </w:p>
        </w:tc>
        <w:tc>
          <w:tcPr>
            <w:tcW w:type="dxa" w:w="7776"/>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Componente que lee una notificación y extrae sus datos en un formato normalizado.</w:t>
            </w:r>
          </w:p>
        </w:tc>
      </w:tr>
      <w:tr>
        <w:trPr>
          <w:cantSplit/>
        </w:trPr>
        <w:tc>
          <w:tcPr>
            <w:tcW w:type="dxa" w:w="2736"/>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SRS</w:t>
            </w:r>
          </w:p>
        </w:tc>
        <w:tc>
          <w:tcPr>
            <w:tcW w:type="dxa" w:w="7776"/>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Software Requirements Specification; especificación posterior que desarrolla requisitos de software. En esta trazabilidad: CNF-SRS-001 v0.4.</w:t>
            </w:r>
          </w:p>
        </w:tc>
      </w:tr>
      <w:tr>
        <w:trPr>
          <w:cantSplit/>
        </w:trPr>
        <w:tc>
          <w:tcPr>
            <w:tcW w:type="dxa" w:w="2736"/>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TBD / pendiente de evidencia real</w:t>
            </w:r>
          </w:p>
        </w:tc>
        <w:tc>
          <w:tcPr>
            <w:tcW w:type="dxa" w:w="7776"/>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7"/>
              </w:rPr>
              <w:t>Decisión, dato o criterio que no debe presentarse como resuelto hasta contar con evidencia verificable.</w:t>
            </w:r>
          </w:p>
        </w:tc>
      </w:tr>
    </w:tbl>
    <w:p>
      <w:pPr>
        <w:spacing w:after="20"/>
      </w:pPr>
    </w:p>
    <w:p>
      <w:pPr>
        <w:pStyle w:val="Heading1"/>
      </w:pPr>
      <w:r>
        <w:rPr>
          <w:rFonts w:ascii="Liberation Sans" w:hAnsi="Liberation Sans"/>
          <w:b/>
          <w:i w:val="0"/>
          <w:color w:val="1F4E79"/>
        </w:rPr>
        <w:t>15. Análisis de alternativas y registro de evidencia</w:t>
      </w:r>
    </w:p>
    <w:p>
      <w:pPr/>
      <w:r>
        <w:rPr>
          <w:rFonts w:ascii="Liberation Sans" w:hAnsi="Liberation Sans"/>
          <w:b w:val="0"/>
          <w:i w:val="0"/>
        </w:rPr>
        <w:t>Las alternativas se revisan como solapamientos observables en páginas públicas, no como un análisis exhaustivo de mercado ni como una evaluación de paridad funcional. Se distingue entre función verificada en la fuente y brecha no verificada en las páginas consultadas. La ausencia de una función en una página no prueba que el proveedor carezca de ella. No se usaron fuentes periodísticas en esta actualización y no se presentan cifras de mercado.</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tblHeader w:val="true"/>
        </w:trPr>
        <w:tc>
          <w:tcPr>
            <w:tcW w:type="dxa" w:w="1440"/>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5"/>
              </w:rPr>
              <w:t>Alternativa</w:t>
            </w:r>
          </w:p>
        </w:tc>
        <w:tc>
          <w:tcPr>
            <w:tcW w:type="dxa" w:w="3384"/>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5"/>
              </w:rPr>
              <w:t>Función verificada en la fuente</w:t>
            </w:r>
          </w:p>
        </w:tc>
        <w:tc>
          <w:tcPr>
            <w:tcW w:type="dxa" w:w="3528"/>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5"/>
              </w:rPr>
              <w:t>Brecha / función no verificada en las páginas consultadas</w:t>
            </w:r>
          </w:p>
        </w:tc>
        <w:tc>
          <w:tcPr>
            <w:tcW w:type="dxa" w:w="2160"/>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5"/>
              </w:rPr>
              <w:t>Lectura para Chulito</w:t>
            </w:r>
          </w:p>
        </w:tc>
      </w:tr>
      <w:tr>
        <w:trPr>
          <w:cantSplit/>
        </w:trPr>
        <w:tc>
          <w:tcPr>
            <w:tcW w:type="dxa" w:w="144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Nequi Negocios</w:t>
            </w:r>
          </w:p>
        </w:tc>
        <w:tc>
          <w:tcPr>
            <w:tcW w:type="dxa" w:w="3384"/>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App Nequi Negocios: QR Negocios para cobrar desde bancos participantes Bre-B, pagos con tarjetas nacionales/internacionales y links de pago; agrega empleados y muestra control de ventas y transacciones; el dinero llega a cuenta Nequi.</w:t>
            </w:r>
          </w:p>
        </w:tc>
        <w:tc>
          <w:tcPr>
            <w:tcW w:type="dxa" w:w="3528"/>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No se verificó en las páginas revisadas un libro independiente que unifique notificaciones de otros emisores. Esto es no verificado, no una afirmación de ausencia.</w:t>
            </w:r>
          </w:p>
        </w:tc>
        <w:tc>
          <w:tcPr>
            <w:tcW w:type="dxa" w:w="216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La hipótesis de vista multi-emisor y rol de cajero sigue siendo un posible espacio de diferenciación; requiere validación.</w:t>
            </w:r>
          </w:p>
        </w:tc>
      </w:tr>
      <w:tr>
        <w:trPr>
          <w:cantSplit/>
        </w:trPr>
        <w:tc>
          <w:tcPr>
            <w:tcW w:type="dxa" w:w="1440"/>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Kuadra</w:t>
            </w:r>
          </w:p>
        </w:tc>
        <w:tc>
          <w:tcPr>
            <w:tcW w:type="dxa" w:w="3384"/>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Administración de inventario, ventas, reportes, clientes/CRM y facturación electrónica; cobros con Nequi y links de pago con QR; oferta web/móvil y usuarios.</w:t>
            </w:r>
          </w:p>
        </w:tc>
        <w:tc>
          <w:tcPr>
            <w:tcW w:type="dxa" w:w="3528"/>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No se verificó en las páginas leídas un flujo de ingestión de notificaciones bancarias de varios emisores ni un estado de pago compartido para cajeros. No se afirma que no exista.</w:t>
            </w:r>
          </w:p>
        </w:tc>
        <w:tc>
          <w:tcPr>
            <w:tcW w:type="dxa" w:w="2160"/>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Comparar el flujo de operación y cuadre, no asumir falta de capacidades fuera de la evidencia publicada.</w:t>
            </w:r>
          </w:p>
        </w:tc>
      </w:tr>
      <w:tr>
        <w:trPr>
          <w:cantSplit/>
        </w:trPr>
        <w:tc>
          <w:tcPr>
            <w:tcW w:type="dxa" w:w="144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Cajero</w:t>
            </w:r>
          </w:p>
        </w:tc>
        <w:tc>
          <w:tcPr>
            <w:tcW w:type="dxa" w:w="3384"/>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Ficha pública de Google Play: datáfono móvil, link de pago, Cupo Cajero, detalle de ventas en tiempo real, catálogo, perfil de operador para colaboradores; novedades mencionan Transfiya.</w:t>
            </w:r>
          </w:p>
        </w:tc>
        <w:tc>
          <w:tcPr>
            <w:tcW w:type="dxa" w:w="3528"/>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No se verificó en la ficha un flujo multi-emisor de notificaciones y libro independiente. La web cajero.co no cargó en la sesión y no se usó como evidencia. La ficha mostraba actualización 21-may-2024.</w:t>
            </w:r>
          </w:p>
        </w:tc>
        <w:tc>
          <w:tcPr>
            <w:tcW w:type="dxa" w:w="216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Tratar la información como declaración del publicador en marketplace y confirmar vigencia antes de decidir.</w:t>
            </w:r>
          </w:p>
        </w:tc>
      </w:tr>
      <w:tr>
        <w:trPr>
          <w:cantSplit/>
        </w:trPr>
        <w:tc>
          <w:tcPr>
            <w:tcW w:type="dxa" w:w="1440"/>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Bre-B</w:t>
            </w:r>
          </w:p>
        </w:tc>
        <w:tc>
          <w:tcPr>
            <w:tcW w:type="dxa" w:w="3384"/>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Sistema interoperable de pagos inmediatos: transferencias y pagos persona a persona y persona a comercio mediante llaves o QR y monto; operación al instante 24/7; comercios pueden usar QR desde el inicio de operación.</w:t>
            </w:r>
          </w:p>
        </w:tc>
        <w:tc>
          <w:tcPr>
            <w:tcW w:type="dxa" w:w="3528"/>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La página revisada describe un riel/sistema de pago; no aporta evidencia de una aplicación de conciliación multi-emisor ni de acceso externo a sus notificaciones. No es una afirmación de carencia del ecosistema.</w:t>
            </w:r>
          </w:p>
        </w:tc>
        <w:tc>
          <w:tcPr>
            <w:tcW w:type="dxa" w:w="2160"/>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Considerarlo dependencia/canal del panorama, no un sustituto directo de la vista operativa y el libro multi-emisor.</w:t>
            </w:r>
          </w:p>
        </w:tc>
      </w:tr>
    </w:tbl>
    <w:p>
      <w:pPr>
        <w:spacing w:after="20"/>
      </w:pPr>
    </w:p>
    <w:p>
      <w:pPr>
        <w:pStyle w:val="Heading2"/>
      </w:pPr>
      <w:r>
        <w:rPr>
          <w:rFonts w:ascii="Liberation Sans" w:hAnsi="Liberation Sans"/>
          <w:b/>
          <w:i w:val="0"/>
          <w:color w:val="17365D"/>
        </w:rPr>
        <w:t>15.1 Registro de evidencia y fuentes</w:t>
      </w:r>
    </w:p>
    <w:p>
      <w:pPr/>
      <w:r>
        <w:rPr>
          <w:rFonts w:ascii="Liberation Sans" w:hAnsi="Liberation Sans"/>
          <w:b w:val="0"/>
          <w:i w:val="0"/>
        </w:rPr>
        <w:t>Fecha de acceso de esta actualización: 17-oct-2026 (hora Colombia). Nivel indica el carácter de la publicación, no una validación independiente de cada capacidad. La fecha de actualización se registra solo cuando la fuente la declara.</w:t>
      </w:r>
    </w:p>
    <w:tbl>
      <w:tblPr>
        <w:tblStyle w:val="TableGrid"/>
        <w:tblW w:type="auto" w:w="0"/>
        <w:jc w:val="center"/>
        <w:tblLayout w:type="fixed"/>
        <w:tblLook w:firstColumn="1" w:firstRow="1" w:lastColumn="0" w:lastRow="0" w:noHBand="0" w:noVBand="1" w:val="04A0"/>
      </w:tblPr>
      <w:tblGrid>
        <w:gridCol w:w="1440"/>
        <w:gridCol w:w="1440"/>
        <w:gridCol w:w="1440"/>
        <w:gridCol w:w="1440"/>
        <w:gridCol w:w="1440"/>
        <w:gridCol w:w="1440"/>
      </w:tblGrid>
      <w:tr>
        <w:trPr>
          <w:tblHeader w:val="true"/>
        </w:trPr>
        <w:tc>
          <w:tcPr>
            <w:tcW w:type="dxa" w:w="648"/>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5"/>
              </w:rPr>
              <w:t>ID</w:t>
            </w:r>
          </w:p>
        </w:tc>
        <w:tc>
          <w:tcPr>
            <w:tcW w:type="dxa" w:w="2880"/>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5"/>
              </w:rPr>
              <w:t>URL</w:t>
            </w:r>
          </w:p>
        </w:tc>
        <w:tc>
          <w:tcPr>
            <w:tcW w:type="dxa" w:w="1080"/>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5"/>
              </w:rPr>
              <w:t>Acceso</w:t>
            </w:r>
          </w:p>
        </w:tc>
        <w:tc>
          <w:tcPr>
            <w:tcW w:type="dxa" w:w="2088"/>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5"/>
              </w:rPr>
              <w:t>Nivel</w:t>
            </w:r>
          </w:p>
        </w:tc>
        <w:tc>
          <w:tcPr>
            <w:tcW w:type="dxa" w:w="1296"/>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5"/>
              </w:rPr>
              <w:t>Actualización declarada</w:t>
            </w:r>
          </w:p>
        </w:tc>
        <w:tc>
          <w:tcPr>
            <w:tcW w:type="dxa" w:w="2520"/>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5"/>
              </w:rPr>
              <w:t>Hecho usado / cautela</w:t>
            </w:r>
          </w:p>
        </w:tc>
      </w:tr>
      <w:tr>
        <w:trPr>
          <w:cantSplit/>
        </w:trPr>
        <w:tc>
          <w:tcPr>
            <w:tcW w:type="dxa" w:w="648"/>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E1a</w:t>
            </w:r>
          </w:p>
        </w:tc>
        <w:tc>
          <w:tcPr>
            <w:tcW w:type="dxa" w:w="288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https://www.nequi.com.co/negocios</w:t>
            </w:r>
          </w:p>
        </w:tc>
        <w:tc>
          <w:tcPr>
            <w:tcW w:type="dxa" w:w="108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17-oct-2026</w:t>
            </w:r>
          </w:p>
        </w:tc>
        <w:tc>
          <w:tcPr>
            <w:tcW w:type="dxa" w:w="2088"/>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Oficial; publicación del proveedor</w:t>
            </w:r>
          </w:p>
        </w:tc>
        <w:tc>
          <w:tcPr>
            <w:tcW w:type="dxa" w:w="1296"/>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No indicada</w:t>
            </w:r>
          </w:p>
        </w:tc>
        <w:tc>
          <w:tcPr>
            <w:tcW w:type="dxa" w:w="252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Soluciones para pagos, administración, crédito, ventas, App Nequi Negocios, Botón/API, suscripciones y Bre-B.</w:t>
            </w:r>
          </w:p>
        </w:tc>
      </w:tr>
      <w:tr>
        <w:trPr>
          <w:cantSplit/>
        </w:trPr>
        <w:tc>
          <w:tcPr>
            <w:tcW w:type="dxa" w:w="648"/>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E1b</w:t>
            </w:r>
          </w:p>
        </w:tc>
        <w:tc>
          <w:tcPr>
            <w:tcW w:type="dxa" w:w="2880"/>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https://www.nequi.com.co/negocios/app-negocios</w:t>
            </w:r>
          </w:p>
        </w:tc>
        <w:tc>
          <w:tcPr>
            <w:tcW w:type="dxa" w:w="1080"/>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17-oct-2026</w:t>
            </w:r>
          </w:p>
        </w:tc>
        <w:tc>
          <w:tcPr>
            <w:tcW w:type="dxa" w:w="2088"/>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Oficial; publicación del proveedor</w:t>
            </w:r>
          </w:p>
        </w:tc>
        <w:tc>
          <w:tcPr>
            <w:tcW w:type="dxa" w:w="1296"/>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No indicada</w:t>
            </w:r>
          </w:p>
        </w:tc>
        <w:tc>
          <w:tcPr>
            <w:tcW w:type="dxa" w:w="2520"/>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QR Negocios, tarjetas, links, empleados, ventas/transacciones y cuenta Nequi; brecha multi-emisor no verificada.</w:t>
            </w:r>
          </w:p>
        </w:tc>
      </w:tr>
      <w:tr>
        <w:trPr>
          <w:cantSplit/>
        </w:trPr>
        <w:tc>
          <w:tcPr>
            <w:tcW w:type="dxa" w:w="648"/>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E2</w:t>
            </w:r>
          </w:p>
        </w:tc>
        <w:tc>
          <w:tcPr>
            <w:tcW w:type="dxa" w:w="288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https://kuadra.com/</w:t>
            </w:r>
          </w:p>
        </w:tc>
        <w:tc>
          <w:tcPr>
            <w:tcW w:type="dxa" w:w="108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17-oct-2026</w:t>
            </w:r>
          </w:p>
        </w:tc>
        <w:tc>
          <w:tcPr>
            <w:tcW w:type="dxa" w:w="2088"/>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Oficial; publicación del proveedor</w:t>
            </w:r>
          </w:p>
        </w:tc>
        <w:tc>
          <w:tcPr>
            <w:tcW w:type="dxa" w:w="1296"/>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No indicada</w:t>
            </w:r>
          </w:p>
        </w:tc>
        <w:tc>
          <w:tcPr>
            <w:tcW w:type="dxa" w:w="252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Inventario, ventas, reportes, CRM, facturación, cobros con Nequi/QR y plataforma web/móvil.</w:t>
            </w:r>
          </w:p>
        </w:tc>
      </w:tr>
      <w:tr>
        <w:trPr>
          <w:cantSplit/>
        </w:trPr>
        <w:tc>
          <w:tcPr>
            <w:tcW w:type="dxa" w:w="648"/>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E3</w:t>
            </w:r>
          </w:p>
        </w:tc>
        <w:tc>
          <w:tcPr>
            <w:tcW w:type="dxa" w:w="2880"/>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https://play.google.com/store/apps/details?id=co.cajero&amp;hl=es_US</w:t>
            </w:r>
          </w:p>
        </w:tc>
        <w:tc>
          <w:tcPr>
            <w:tcW w:type="dxa" w:w="1080"/>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17-oct-2026</w:t>
            </w:r>
          </w:p>
        </w:tc>
        <w:tc>
          <w:tcPr>
            <w:tcW w:type="dxa" w:w="2088"/>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Ficha pública del publicador en marketplace; primaria para lo declarado por el proveedor</w:t>
            </w:r>
          </w:p>
        </w:tc>
        <w:tc>
          <w:tcPr>
            <w:tcW w:type="dxa" w:w="1296"/>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21-may-2024</w:t>
            </w:r>
          </w:p>
        </w:tc>
        <w:tc>
          <w:tcPr>
            <w:tcW w:type="dxa" w:w="2520"/>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Funciones declaradas de Cajero; confirmar vigencia directa antes de decidir.</w:t>
            </w:r>
          </w:p>
        </w:tc>
      </w:tr>
      <w:tr>
        <w:trPr>
          <w:cantSplit/>
        </w:trPr>
        <w:tc>
          <w:tcPr>
            <w:tcW w:type="dxa" w:w="648"/>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E4</w:t>
            </w:r>
          </w:p>
        </w:tc>
        <w:tc>
          <w:tcPr>
            <w:tcW w:type="dxa" w:w="288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https://www.banrep.gov.co/es/bre-b/que-es</w:t>
            </w:r>
          </w:p>
        </w:tc>
        <w:tc>
          <w:tcPr>
            <w:tcW w:type="dxa" w:w="108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17-oct-2026</w:t>
            </w:r>
          </w:p>
        </w:tc>
        <w:tc>
          <w:tcPr>
            <w:tcW w:type="dxa" w:w="2088"/>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Oficial; operador público/autoridad</w:t>
            </w:r>
          </w:p>
        </w:tc>
        <w:tc>
          <w:tcPr>
            <w:tcW w:type="dxa" w:w="1296"/>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07-ene-2026</w:t>
            </w:r>
          </w:p>
        </w:tc>
        <w:tc>
          <w:tcPr>
            <w:tcW w:type="dxa" w:w="252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5"/>
              </w:rPr>
              <w:t>Definición y alcance de Bre-B como sistema interoperable de pagos inmediatos.</w:t>
            </w:r>
          </w:p>
        </w:tc>
      </w:tr>
    </w:tbl>
    <w:p>
      <w:pPr>
        <w:spacing w:after="20"/>
      </w:pPr>
    </w:p>
    <w:p>
      <w:pPr/>
      <w:r>
        <w:rPr>
          <w:rFonts w:ascii="Liberation Sans" w:hAnsi="Liberation Sans"/>
          <w:b w:val="0"/>
          <w:i w:val="0"/>
        </w:rPr>
        <w:t>No se usaron fuentes periodísticas en esta actualización. El registro no prueba exhaustividad ni paridad funcional; solo documenta lo que fue observable y revisado en las fuentes indicadas.</w:t>
      </w:r>
    </w:p>
    <w:p>
      <w:pPr>
        <w:pStyle w:val="Heading2"/>
      </w:pPr>
      <w:r>
        <w:rPr>
          <w:rFonts w:ascii="Liberation Sans" w:hAnsi="Liberation Sans"/>
          <w:b/>
          <w:i w:val="0"/>
          <w:color w:val="17365D"/>
        </w:rPr>
        <w:t>15.2 Hipótesis de posicionamiento</w:t>
      </w:r>
    </w:p>
    <w:tbl>
      <w:tblPr>
        <w:tblW w:type="auto" w:w="0"/>
        <w:jc w:val="center"/>
        <w:tblLayout w:type="autofit"/>
        <w:tblLook w:firstColumn="1" w:firstRow="1" w:lastColumn="0" w:lastRow="0" w:noHBand="0" w:noVBand="1" w:val="04A0"/>
      </w:tblPr>
      <w:tblGrid>
        <w:gridCol w:w="8640"/>
      </w:tblGrid>
      <w:tr>
        <w:tc>
          <w:tcPr>
            <w:tcW w:type="dxa" w:w="8640"/>
            <w:shd w:fill="D9EAF7"/>
            <w:vAlign w:val="top"/>
            <w:tcMar>
              <w:top w:w="70" w:type="dxa"/>
              <w:start w:w="90" w:type="dxa"/>
              <w:bottom w:w="70" w:type="dxa"/>
              <w:end w:w="90" w:type="dxa"/>
            </w:tcMar>
          </w:tcPr>
          <w:p>
            <w:pPr>
              <w:spacing w:after="20" w:line="240" w:lineRule="auto"/>
            </w:pPr>
            <w:r/>
            <w:r>
              <w:rPr>
                <w:rFonts w:ascii="Liberation Sans" w:hAnsi="Liberation Sans"/>
                <w:b w:val="0"/>
                <w:color w:val="374151"/>
                <w:sz w:val="18"/>
              </w:rPr>
              <w:t>H1 [HIP]: Para negocios pequeños con varios emisores y rol de cajero, la oportunidad podría ser la vista compartida de confirmaciones auténticas y el libro multi-emisor sin compartir credenciales financieras del titular. Debe validarse con investigación de campo; no inferir demanda o prioridad desde S-0.1.</w:t>
            </w:r>
          </w:p>
        </w:tc>
      </w:tr>
    </w:tbl>
    <w:p>
      <w:pPr>
        <w:spacing w:after="40"/>
      </w:pPr>
    </w:p>
    <w:p>
      <w:pPr>
        <w:pStyle w:val="Heading1"/>
      </w:pPr>
      <w:r>
        <w:rPr>
          <w:rFonts w:ascii="Liberation Sans" w:hAnsi="Liberation Sans"/>
          <w:b/>
          <w:i w:val="0"/>
          <w:color w:val="1F4E79"/>
        </w:rPr>
        <w:t>16. Cambios respecto a la v0.1</w:t>
      </w:r>
    </w:p>
    <w:p>
      <w:pPr>
        <w:pStyle w:val="ListBullet"/>
      </w:pPr>
      <w:r>
        <w:rPr>
          <w:rFonts w:ascii="Liberation Sans" w:hAnsi="Liberation Sans"/>
          <w:b w:val="0"/>
          <w:i w:val="0"/>
        </w:rPr>
        <w:t>Posicionamiento: de detector de pantallazos falsos a hipótesis de servicio multi-emisor con vista compartida de confirmaciones y libro diario; el fraude queda como función secundaria.</w:t>
      </w:r>
    </w:p>
    <w:p>
      <w:pPr>
        <w:pStyle w:val="ListBullet"/>
      </w:pPr>
      <w:r>
        <w:rPr>
          <w:rFonts w:ascii="Liberation Sans" w:hAnsi="Liberation Sans"/>
          <w:b w:val="0"/>
          <w:i w:val="0"/>
        </w:rPr>
        <w:t>Usuario prioritario: negocio pequeño con empleados y varios medios de pago; el cajero puede consultar sin acceso a la cuenta del titular.</w:t>
      </w:r>
    </w:p>
    <w:p>
      <w:pPr>
        <w:pStyle w:val="ListBullet"/>
      </w:pPr>
      <w:r>
        <w:rPr>
          <w:rFonts w:ascii="Liberation Sans" w:hAnsi="Liberation Sans"/>
          <w:b w:val="0"/>
          <w:i w:val="0"/>
        </w:rPr>
        <w:t>Alcance del MVP: rol de cajero, libro diario unificado, captura controlada y parsers; la revisión de pagos dudosos no es la propuesta principal.</w:t>
      </w:r>
    </w:p>
    <w:p>
      <w:pPr>
        <w:pStyle w:val="ListBullet"/>
      </w:pPr>
      <w:r>
        <w:rPr>
          <w:rFonts w:ascii="Liberation Sans" w:hAnsi="Liberation Sans"/>
          <w:b w:val="0"/>
          <w:i w:val="0"/>
        </w:rPr>
        <w:t>Captura de pagos (Q1): priorizar una vía controlada por el usuario antes que acceso completo al correo.</w:t>
      </w:r>
    </w:p>
    <w:p>
      <w:pPr>
        <w:pStyle w:val="ListBullet"/>
      </w:pPr>
      <w:r>
        <w:rPr>
          <w:rFonts w:ascii="Liberation Sans" w:hAnsi="Liberation Sans"/>
          <w:b w:val="0"/>
          <w:i w:val="0"/>
        </w:rPr>
        <w:t>Métricas y riesgos: se agregan cobros confirmados por el cajero, tiempo de cuadre y riesgo de que los emisores amplíen sus herramientas.</w:t>
      </w:r>
    </w:p>
    <w:p>
      <w:pPr>
        <w:pStyle w:val="ListBullet"/>
      </w:pPr>
      <w:r>
        <w:rPr>
          <w:rFonts w:ascii="Liberation Sans" w:hAnsi="Liberation Sans"/>
          <w:b w:val="0"/>
          <w:i w:val="0"/>
        </w:rPr>
        <w:t>Datos de origen: el informe S-0.1 es un escenario simulado; las afirmaciones que dependan de él se revisan con entrevistas reales.</w:t>
      </w:r>
    </w:p>
    <w:p>
      <w:pPr>
        <w:pStyle w:val="Heading1"/>
      </w:pPr>
      <w:r>
        <w:rPr>
          <w:rFonts w:ascii="Liberation Sans" w:hAnsi="Liberation Sans"/>
          <w:b/>
          <w:i w:val="0"/>
          <w:color w:val="1F4E79"/>
        </w:rPr>
        <w:t>17. Cambios de la v0.3 a la v0.4</w:t>
      </w:r>
    </w:p>
    <w:p>
      <w:pPr>
        <w:pStyle w:val="ListBullet"/>
      </w:pPr>
      <w:r>
        <w:rPr>
          <w:rFonts w:ascii="Liberation Sans" w:hAnsi="Liberation Sans"/>
          <w:b w:val="0"/>
          <w:i w:val="0"/>
        </w:rPr>
        <w:t>Se renombra la marca visible a Chulito; se conserva CNF-PRD-001 e identificadores CNF- como claves históricas y se explica CNF en el glosario.</w:t>
      </w:r>
    </w:p>
    <w:p>
      <w:pPr>
        <w:pStyle w:val="ListBullet"/>
      </w:pPr>
      <w:r>
        <w:rPr>
          <w:rFonts w:ascii="Liberation Sans" w:hAnsi="Liberation Sans"/>
          <w:b w:val="0"/>
          <w:i w:val="0"/>
        </w:rPr>
        <w:t>Se actualizan resumen y posicionamiento a una hipótesis provisional de servicio multi-emisor con vista para cajero sin exponer la cuenta del titular.</w:t>
      </w:r>
    </w:p>
    <w:p>
      <w:pPr>
        <w:pStyle w:val="ListBullet"/>
      </w:pPr>
      <w:r>
        <w:rPr>
          <w:rFonts w:ascii="Liberation Sans" w:hAnsi="Liberation Sans"/>
          <w:b w:val="0"/>
          <w:i w:val="0"/>
        </w:rPr>
        <w:t>Se explicita que el fraude no es la propuesta principal y que la señalización de pagos dudosos es secundaria.</w:t>
      </w:r>
    </w:p>
    <w:p>
      <w:pPr>
        <w:pStyle w:val="ListBullet"/>
      </w:pPr>
      <w:r>
        <w:rPr>
          <w:rFonts w:ascii="Liberation Sans" w:hAnsi="Liberation Sans"/>
          <w:b w:val="0"/>
          <w:i w:val="0"/>
        </w:rPr>
        <w:t>Se reemplaza el análisis de alternativas por evidencia revisada de Nequi Negocios, Kuadra, Cajero y Bre-B, separando funciones verificadas de brechas no verificadas.</w:t>
      </w:r>
    </w:p>
    <w:p>
      <w:pPr>
        <w:pStyle w:val="ListBullet"/>
      </w:pPr>
      <w:r>
        <w:rPr>
          <w:rFonts w:ascii="Liberation Sans" w:hAnsi="Liberation Sans"/>
          <w:b w:val="0"/>
          <w:i w:val="0"/>
        </w:rPr>
        <w:t>Se incorpora registro de URLs, acceso 17-oct-2026, nivel de fuente y fecha de actualización conocida; no se usaron fuentes periodísticas en esta actualización.</w:t>
      </w:r>
    </w:p>
    <w:p>
      <w:pPr>
        <w:pStyle w:val="ListBullet"/>
      </w:pPr>
      <w:r>
        <w:rPr>
          <w:rFonts w:ascii="Liberation Sans" w:hAnsi="Liberation Sans"/>
          <w:b w:val="0"/>
          <w:i w:val="0"/>
        </w:rPr>
        <w:t>Se añade trazabilidad explícita al SRS CNF-SRS-001 v0.4 y se conserva el estado draft / revisión con pendientes TBD.</w:t>
      </w:r>
    </w:p>
    <w:p>
      <w:pPr>
        <w:pStyle w:val="Heading2"/>
      </w:pPr>
      <w:r>
        <w:rPr>
          <w:rFonts w:ascii="Liberation Sans" w:hAnsi="Liberation Sans"/>
          <w:b/>
          <w:i w:val="0"/>
          <w:color w:val="17365D"/>
        </w:rPr>
        <w:t>17.1 Cambios históricos de la v0.3 respecto a la v0.2</w:t>
      </w:r>
    </w:p>
    <w:p>
      <w:pPr>
        <w:pStyle w:val="ListBullet"/>
      </w:pPr>
      <w:r>
        <w:rPr>
          <w:rFonts w:ascii="Liberation Sans" w:hAnsi="Liberation Sans"/>
          <w:b w:val="0"/>
          <w:i w:val="0"/>
        </w:rPr>
        <w:t>Se conservó el documento como PRD de visión y alcance; no se convirtió en SRS.</w:t>
      </w:r>
    </w:p>
    <w:p>
      <w:pPr>
        <w:pStyle w:val="ListBullet"/>
      </w:pPr>
      <w:r>
        <w:rPr>
          <w:rFonts w:ascii="Liberation Sans" w:hAnsi="Liberation Sans"/>
          <w:b w:val="0"/>
          <w:i w:val="0"/>
        </w:rPr>
        <w:t>Se añadieron estados de borrador, trazas entre objetivos y requisitos, y criterios de validación propuestos.</w:t>
      </w:r>
    </w:p>
    <w:p>
      <w:pPr>
        <w:pStyle w:val="ListBullet"/>
      </w:pPr>
      <w:r>
        <w:rPr>
          <w:rFonts w:ascii="Liberation Sans" w:hAnsi="Liberation Sans"/>
          <w:b w:val="0"/>
          <w:i w:val="0"/>
        </w:rPr>
        <w:t>Se aclaró que hipótesis, métricas y criterios siguen pendientes hasta obtener evidencia y aprobación.</w:t>
      </w:r>
    </w:p>
    <w:p>
      <w:pPr>
        <w:pStyle w:val="ListBullet"/>
      </w:pPr>
      <w:r>
        <w:rPr>
          <w:rFonts w:ascii="Liberation Sans" w:hAnsi="Liberation Sans"/>
          <w:b w:val="0"/>
          <w:i w:val="0"/>
        </w:rPr>
        <w:t>Se incorporó una referencia metodológica explícita a ISO/IEC/IEEE 29148:2018, sin declarar conformidad formal.</w:t>
      </w:r>
    </w:p>
    <w:p>
      <w:pPr>
        <w:pStyle w:val="Heading1"/>
      </w:pPr>
      <w:r>
        <w:rPr>
          <w:rFonts w:ascii="Liberation Sans" w:hAnsi="Liberation Sans"/>
          <w:b/>
          <w:i w:val="0"/>
          <w:color w:val="1F4E79"/>
        </w:rPr>
        <w:t>18. Referencia metodológica: ISO/IEC/IEEE 29148:2018</w:t>
      </w:r>
    </w:p>
    <w:p>
      <w:pPr/>
      <w:r>
        <w:rPr>
          <w:rFonts w:ascii="Liberation Sans" w:hAnsi="Liberation Sans"/>
          <w:b w:val="0"/>
          <w:i w:val="0"/>
        </w:rPr>
        <w:t>ISO describe que 29148 aborda procesos de ingeniería de requisitos y los elementos de información producidos durante esos procesos, junto con su contenido. IEEE describe características de requisitos y prácticas relacionadas con procesos, productos y gestión de requisitos. La edición 2018 se usa aquí como orientación metodológica; el estado del catálogo debe revisarse de nuevo al aprobar una línea base.</w:t>
      </w:r>
    </w:p>
    <w:p>
      <w:pPr/>
      <w:r>
        <w:rPr>
          <w:rFonts w:ascii="Liberation Sans" w:hAnsi="Liberation Sans"/>
          <w:b w:val="0"/>
          <w:i w:val="0"/>
        </w:rPr>
        <w:t>Este PRD adopta prácticas seleccionadas de identificación, trazabilidad, estado, prioridad y validación, pero mantiene una organización de visión y alcance centrada en el producto. No es una plantilla PRD oficial de la norma, no es un SRS y no afirma cumplimiento cláusula por cláusula, certificación ni conformidad formal. El texto íntegro de la norma no se sustituye por sus fichas públicas.</w:t>
      </w:r>
    </w:p>
    <w:tbl>
      <w:tblPr>
        <w:tblW w:type="auto" w:w="0"/>
        <w:jc w:val="center"/>
        <w:tblLayout w:type="autofit"/>
        <w:tblLook w:firstColumn="1" w:firstRow="1" w:lastColumn="0" w:lastRow="0" w:noHBand="0" w:noVBand="1" w:val="04A0"/>
      </w:tblPr>
      <w:tblGrid>
        <w:gridCol w:w="8640"/>
      </w:tblGrid>
      <w:tr>
        <w:tc>
          <w:tcPr>
            <w:tcW w:type="dxa" w:w="8640"/>
            <w:shd w:fill="D9EAF7"/>
            <w:vAlign w:val="top"/>
            <w:tcMar>
              <w:top w:w="70" w:type="dxa"/>
              <w:start w:w="90" w:type="dxa"/>
              <w:bottom w:w="70" w:type="dxa"/>
              <w:end w:w="90" w:type="dxa"/>
            </w:tcMar>
          </w:tcPr>
          <w:p>
            <w:pPr>
              <w:spacing w:after="20" w:line="240" w:lineRule="auto"/>
            </w:pPr>
            <w:r/>
            <w:r>
              <w:rPr>
                <w:rFonts w:ascii="Liberation Sans" w:hAnsi="Liberation Sans"/>
                <w:b w:val="0"/>
                <w:color w:val="374151"/>
                <w:sz w:val="18"/>
              </w:rPr>
              <w:t>Límite de la referencia: La referencia a ISO/IEC/IEEE 29148:2018 es metodológica. No se declara conformidad, certificación, auditoría ni cumplimiento formal.</w:t>
            </w:r>
          </w:p>
        </w:tc>
      </w:tr>
    </w:tbl>
    <w:p>
      <w:pPr>
        <w:spacing w:after="40"/>
      </w:pPr>
    </w:p>
    <w:p>
      <w:pPr>
        <w:pStyle w:val="SmallNote"/>
      </w:pPr>
      <w:r>
        <w:rPr>
          <w:rFonts w:ascii="Liberation Sans" w:hAnsi="Liberation Sans"/>
          <w:b w:val="0"/>
          <w:i w:val="0"/>
        </w:rPr>
        <w:t>Fuentes normativas heredadas del v0.3: [1] ISO, ficha de ISO/IEC/IEEE 29148:2018; [2] IEEE Standards Association, ficha de IEEE/ISO/IEC 29148-2018. URL exacta y estado del catálogo: TBD / pendiente de verificación reproducible antes de aprobar la línea base.</w:t>
      </w:r>
    </w:p>
    <w:p>
      <w:pPr>
        <w:pStyle w:val="Heading1"/>
      </w:pPr>
      <w:r>
        <w:rPr>
          <w:rFonts w:ascii="Liberation Sans" w:hAnsi="Liberation Sans"/>
          <w:b/>
          <w:i w:val="0"/>
          <w:color w:val="1F4E79"/>
        </w:rPr>
        <w:t>19. Estado de revisión y pendientes</w:t>
      </w:r>
    </w:p>
    <w:p>
      <w:pPr/>
      <w:r>
        <w:rPr>
          <w:rFonts w:ascii="Liberation Sans" w:hAnsi="Liberation Sans"/>
          <w:b w:val="0"/>
          <w:i w:val="0"/>
        </w:rPr>
        <w:t>Estado actual: Draft / Borrador para revisión. Este documento no está aprobado y sus requisitos no forman una línea base definitiva.</w:t>
      </w:r>
    </w:p>
    <w:tbl>
      <w:tblPr>
        <w:tblStyle w:val="TableGrid"/>
        <w:tblW w:type="auto" w:w="0"/>
        <w:jc w:val="center"/>
        <w:tblLayout w:type="fixed"/>
        <w:tblLook w:firstColumn="1" w:firstRow="1" w:lastColumn="0" w:lastRow="0" w:noHBand="0" w:noVBand="1" w:val="04A0"/>
      </w:tblPr>
      <w:tblGrid>
        <w:gridCol w:w="2880"/>
        <w:gridCol w:w="2880"/>
        <w:gridCol w:w="2880"/>
      </w:tblGrid>
      <w:tr>
        <w:trPr>
          <w:tblHeader w:val="true"/>
        </w:trPr>
        <w:tc>
          <w:tcPr>
            <w:tcW w:type="dxa" w:w="2880"/>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6"/>
              </w:rPr>
              <w:t>Pendiente</w:t>
            </w:r>
          </w:p>
        </w:tc>
        <w:tc>
          <w:tcPr>
            <w:tcW w:type="dxa" w:w="2232"/>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6"/>
              </w:rPr>
              <w:t>Estado</w:t>
            </w:r>
          </w:p>
        </w:tc>
        <w:tc>
          <w:tcPr>
            <w:tcW w:type="dxa" w:w="5400"/>
            <w:shd w:fill="1F4E79"/>
            <w:vAlign w:val="top"/>
            <w:tcMar>
              <w:top w:w="70" w:type="dxa"/>
              <w:start w:w="90" w:type="dxa"/>
              <w:bottom w:w="70" w:type="dxa"/>
              <w:end w:w="90" w:type="dxa"/>
            </w:tcMar>
          </w:tcPr>
          <w:p>
            <w:pPr>
              <w:spacing w:after="20" w:line="240" w:lineRule="auto"/>
            </w:pPr>
            <w:r/>
            <w:r>
              <w:rPr>
                <w:rFonts w:ascii="Liberation Sans" w:hAnsi="Liberation Sans"/>
                <w:b/>
                <w:color w:val="FFFFFF"/>
                <w:sz w:val="16"/>
              </w:rPr>
              <w:t>Evidencia o salida requerida</w:t>
            </w:r>
          </w:p>
        </w:tc>
      </w:tr>
      <w:tr>
        <w:trPr>
          <w:cantSplit/>
        </w:trPr>
        <w:tc>
          <w:tcPr>
            <w:tcW w:type="dxa" w:w="288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Validar problema, usuarios y posicionamiento</w:t>
            </w:r>
          </w:p>
        </w:tc>
        <w:tc>
          <w:tcPr>
            <w:tcW w:type="dxa" w:w="2232"/>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TBD / pendiente de evidencia real</w:t>
            </w:r>
          </w:p>
        </w:tc>
        <w:tc>
          <w:tcPr>
            <w:tcW w:type="dxa" w:w="540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Entrevistas registradas y síntesis; no usar S-0.1 como resultado real.</w:t>
            </w:r>
          </w:p>
        </w:tc>
      </w:tr>
      <w:tr>
        <w:trPr>
          <w:cantSplit/>
        </w:trPr>
        <w:tc>
          <w:tcPr>
            <w:tcW w:type="dxa" w:w="2880"/>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Elegir vía de captura (Q1)</w:t>
            </w:r>
          </w:p>
        </w:tc>
        <w:tc>
          <w:tcPr>
            <w:tcW w:type="dxa" w:w="2232"/>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TBD</w:t>
            </w:r>
          </w:p>
        </w:tc>
        <w:tc>
          <w:tcPr>
            <w:tcW w:type="dxa" w:w="5400"/>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Spike técnico, revisión de restricciones de plataforma y ADR.</w:t>
            </w:r>
          </w:p>
        </w:tc>
      </w:tr>
      <w:tr>
        <w:trPr>
          <w:cantSplit/>
        </w:trPr>
        <w:tc>
          <w:tcPr>
            <w:tcW w:type="dxa" w:w="288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Elegir emisores del MVP (Q2)</w:t>
            </w:r>
          </w:p>
        </w:tc>
        <w:tc>
          <w:tcPr>
            <w:tcW w:type="dxa" w:w="2232"/>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TBD</w:t>
            </w:r>
          </w:p>
        </w:tc>
        <w:tc>
          <w:tcPr>
            <w:tcW w:type="dxa" w:w="540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Muestras reales anonimizadas y consentimiento expreso.</w:t>
            </w:r>
          </w:p>
        </w:tc>
      </w:tr>
      <w:tr>
        <w:trPr>
          <w:cantSplit/>
        </w:trPr>
        <w:tc>
          <w:tcPr>
            <w:tcW w:type="dxa" w:w="2880"/>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Definir reglas de conciliación (Q3)</w:t>
            </w:r>
          </w:p>
        </w:tc>
        <w:tc>
          <w:tcPr>
            <w:tcW w:type="dxa" w:w="2232"/>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TBD</w:t>
            </w:r>
          </w:p>
        </w:tc>
        <w:tc>
          <w:tcPr>
            <w:tcW w:type="dxa" w:w="5400"/>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Flujo de cobro real y criterios aprobados.</w:t>
            </w:r>
          </w:p>
        </w:tc>
      </w:tr>
      <w:tr>
        <w:trPr>
          <w:cantSplit/>
        </w:trPr>
        <w:tc>
          <w:tcPr>
            <w:tcW w:type="dxa" w:w="288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Revisar privacidad y Ley 1581 de 2012</w:t>
            </w:r>
          </w:p>
        </w:tc>
        <w:tc>
          <w:tcPr>
            <w:tcW w:type="dxa" w:w="2232"/>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Pendiente de revisión jurídica</w:t>
            </w:r>
          </w:p>
        </w:tc>
        <w:tc>
          <w:tcPr>
            <w:tcW w:type="dxa" w:w="540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Inventario, propósito, acceso, retención y modelo de amenazas.</w:t>
            </w:r>
          </w:p>
        </w:tc>
      </w:tr>
      <w:tr>
        <w:trPr>
          <w:cantSplit/>
        </w:trPr>
        <w:tc>
          <w:tcPr>
            <w:tcW w:type="dxa" w:w="2880"/>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Alinear con SRS CNF-SRS-001 v0.4</w:t>
            </w:r>
          </w:p>
        </w:tc>
        <w:tc>
          <w:tcPr>
            <w:tcW w:type="dxa" w:w="2232"/>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Trazabilidad candidata</w:t>
            </w:r>
          </w:p>
        </w:tc>
        <w:tc>
          <w:tcPr>
            <w:tcW w:type="dxa" w:w="5400"/>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Revisión cruzada de IDs, estados, prioridades y criterios de validación.</w:t>
            </w:r>
          </w:p>
        </w:tc>
      </w:tr>
      <w:tr>
        <w:trPr>
          <w:cantSplit/>
        </w:trPr>
        <w:tc>
          <w:tcPr>
            <w:tcW w:type="dxa" w:w="288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Revisar fuentes alternativas y fechas</w:t>
            </w:r>
          </w:p>
        </w:tc>
        <w:tc>
          <w:tcPr>
            <w:tcW w:type="dxa" w:w="2232"/>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Pendiente antes de decisión</w:t>
            </w:r>
          </w:p>
        </w:tc>
        <w:tc>
          <w:tcPr>
            <w:tcW w:type="dxa" w:w="5400"/>
            <w:shd w:fill="F3F7FA"/>
            <w:vAlign w:val="top"/>
            <w:tcMar>
              <w:top w:w="70" w:type="dxa"/>
              <w:start w:w="90" w:type="dxa"/>
              <w:bottom w:w="70" w:type="dxa"/>
              <w:end w:w="90" w:type="dxa"/>
            </w:tcMar>
          </w:tcPr>
          <w:p>
            <w:pPr>
              <w:spacing w:after="20" w:line="240" w:lineRule="auto"/>
            </w:pPr>
            <w:r/>
            <w:r>
              <w:rPr>
                <w:rFonts w:ascii="Liberation Sans" w:hAnsi="Liberation Sans"/>
                <w:b w:val="0"/>
                <w:color w:val="1F2937"/>
                <w:sz w:val="16"/>
              </w:rPr>
              <w:t>Reconsulta directa de las URLs del registro; no inferir ausencias.</w:t>
            </w:r>
          </w:p>
        </w:tc>
      </w:tr>
    </w:tbl>
    <w:p>
      <w:pPr>
        <w:spacing w:after="20"/>
      </w:pPr>
    </w:p>
    <w:tbl>
      <w:tblPr>
        <w:tblW w:type="auto" w:w="0"/>
        <w:jc w:val="center"/>
        <w:tblLayout w:type="autofit"/>
        <w:tblLook w:firstColumn="1" w:firstRow="1" w:lastColumn="0" w:lastRow="0" w:noHBand="0" w:noVBand="1" w:val="04A0"/>
      </w:tblPr>
      <w:tblGrid>
        <w:gridCol w:w="8640"/>
      </w:tblGrid>
      <w:tr>
        <w:tc>
          <w:tcPr>
            <w:tcW w:type="dxa" w:w="8640"/>
            <w:shd w:fill="FFF2CC"/>
            <w:vAlign w:val="top"/>
            <w:tcMar>
              <w:top w:w="70" w:type="dxa"/>
              <w:start w:w="90" w:type="dxa"/>
              <w:bottom w:w="70" w:type="dxa"/>
              <w:end w:w="90" w:type="dxa"/>
            </w:tcMar>
          </w:tcPr>
          <w:p>
            <w:pPr>
              <w:spacing w:after="20" w:line="240" w:lineRule="auto"/>
            </w:pPr>
            <w:r/>
            <w:r>
              <w:rPr>
                <w:rFonts w:ascii="Liberation Sans" w:hAnsi="Liberation Sans"/>
                <w:b w:val="0"/>
                <w:color w:val="374151"/>
                <w:sz w:val="18"/>
              </w:rPr>
              <w:t>Criterio de salida de revisión: Solo pasar a una línea base aprobada cuando las hipótesis críticas tengan evidencia suficiente, las preguntas Q1–Q4 tengan decisión documentada y la trazabilidad al SRS esté revisada.</w:t>
            </w:r>
          </w:p>
        </w:tc>
      </w:tr>
    </w:tbl>
    <w:p>
      <w:pPr>
        <w:spacing w:after="40"/>
      </w:pPr>
    </w:p>
    <w:p>
      <w:pPr>
        <w:pStyle w:val="Heading2"/>
      </w:pPr>
      <w:r>
        <w:rPr>
          <w:rFonts w:ascii="Liberation Sans" w:hAnsi="Liberation Sans"/>
          <w:b/>
          <w:i w:val="0"/>
          <w:color w:val="17365D"/>
        </w:rPr>
        <w:t>19.1 Próximos controles de revisión</w:t>
      </w:r>
    </w:p>
    <w:p>
      <w:pPr/>
      <w:r>
        <w:rPr>
          <w:rFonts w:ascii="Liberation Sans" w:hAnsi="Liberation Sans"/>
          <w:b w:val="0"/>
          <w:i w:val="0"/>
        </w:rPr>
        <w:t>La siguiente revisión debe tratar este documento como una base de trabajo editable y comprobar cada afirmación antes de convertirla en compromiso de producto:</w:t>
      </w:r>
    </w:p>
    <w:p>
      <w:pPr>
        <w:pStyle w:val="ListBullet"/>
      </w:pPr>
      <w:r>
        <w:rPr>
          <w:rFonts w:ascii="Liberation Sans" w:hAnsi="Liberation Sans"/>
          <w:b w:val="0"/>
          <w:i w:val="0"/>
        </w:rPr>
        <w:t>Registrar las entrevistas reales y separar sus hallazgos de cualquier referencia a S-0.1.</w:t>
      </w:r>
    </w:p>
    <w:p>
      <w:pPr>
        <w:pStyle w:val="ListBullet"/>
      </w:pPr>
      <w:r>
        <w:rPr>
          <w:rFonts w:ascii="Liberation Sans" w:hAnsi="Liberation Sans"/>
          <w:b w:val="0"/>
          <w:i w:val="0"/>
        </w:rPr>
        <w:t>Reconsultar las URLs del registro, anotar cambios de contenido y actualizar las fechas de vigencia cuando la fuente las declare.</w:t>
      </w:r>
    </w:p>
    <w:p>
      <w:pPr>
        <w:pStyle w:val="ListBullet"/>
      </w:pPr>
      <w:r>
        <w:rPr>
          <w:rFonts w:ascii="Liberation Sans" w:hAnsi="Liberation Sans"/>
          <w:b w:val="0"/>
          <w:i w:val="0"/>
        </w:rPr>
        <w:t>Confirmar con evidencia autorizada los emisores, campos disponibles, vía de captura y muestras necesarias para el MVP.</w:t>
      </w:r>
    </w:p>
    <w:p>
      <w:pPr>
        <w:pStyle w:val="ListBullet"/>
      </w:pPr>
      <w:r>
        <w:rPr>
          <w:rFonts w:ascii="Liberation Sans" w:hAnsi="Liberation Sans"/>
          <w:b w:val="0"/>
          <w:i w:val="0"/>
        </w:rPr>
        <w:t>Revisar privacidad, retención, permisos de cajero y modelo de amenazas antes de comprometer una implementación.</w:t>
      </w:r>
    </w:p>
    <w:p>
      <w:pPr>
        <w:pStyle w:val="ListBullet"/>
      </w:pPr>
      <w:r>
        <w:rPr>
          <w:rFonts w:ascii="Liberation Sans" w:hAnsi="Liberation Sans"/>
          <w:b w:val="0"/>
          <w:i w:val="0"/>
        </w:rPr>
        <w:t>Cruzar RF/RNF, prioridades y criterios de validación con SRS CNF-SRS-001 v0.4 y registrar cualquier divergencia.</w:t>
      </w:r>
    </w:p>
    <w:p>
      <w:pPr>
        <w:pStyle w:val="ListBullet"/>
      </w:pPr>
      <w:r>
        <w:rPr>
          <w:rFonts w:ascii="Liberation Sans" w:hAnsi="Liberation Sans"/>
          <w:b w:val="0"/>
          <w:i w:val="0"/>
        </w:rPr>
        <w:t>Actualizar el historial y pasar de draft / revisión solo con la aprobación documentada de producto y la evidencia pendiente resuelta.</w:t>
      </w:r>
    </w:p>
    <w:tbl>
      <w:tblPr>
        <w:tblW w:type="auto" w:w="0"/>
        <w:jc w:val="center"/>
        <w:tblLayout w:type="autofit"/>
        <w:tblLook w:firstColumn="1" w:firstRow="1" w:lastColumn="0" w:lastRow="0" w:noHBand="0" w:noVBand="1" w:val="04A0"/>
      </w:tblPr>
      <w:tblGrid>
        <w:gridCol w:w="8640"/>
      </w:tblGrid>
      <w:tr>
        <w:tc>
          <w:tcPr>
            <w:tcW w:type="dxa" w:w="8640"/>
            <w:shd w:fill="D9EAF7"/>
            <w:vAlign w:val="top"/>
            <w:tcMar>
              <w:top w:w="70" w:type="dxa"/>
              <w:start w:w="90" w:type="dxa"/>
              <w:bottom w:w="70" w:type="dxa"/>
              <w:end w:w="90" w:type="dxa"/>
            </w:tcMar>
          </w:tcPr>
          <w:p>
            <w:pPr>
              <w:spacing w:after="20" w:line="240" w:lineRule="auto"/>
            </w:pPr>
            <w:r/>
            <w:r>
              <w:rPr>
                <w:rFonts w:ascii="Liberation Sans" w:hAnsi="Liberation Sans"/>
                <w:b w:val="0"/>
                <w:color w:val="374151"/>
                <w:sz w:val="18"/>
              </w:rPr>
              <w:t>Nota de cierre: Mientras estas comprobaciones permanezcan abiertas, Chulito v0.4 debe leerse como PRD de visión y alcance en estado draft / revisión, no como especificación aprobada ni como evidencia de mercado.</w:t>
            </w:r>
          </w:p>
        </w:tc>
      </w:tr>
    </w:tbl>
    <w:p>
      <w:pPr>
        <w:spacing w:after="40"/>
      </w:pPr>
    </w:p>
    <w:sectPr w:rsidR="00FC693F" w:rsidRPr="0006063C" w:rsidSect="00034616">
      <w:headerReference w:type="default" r:id="rId9"/>
      <w:footerReference w:type="default" r:id="rId10"/>
      <w:pgSz w:w="12240" w:h="15840"/>
      <w:pgMar w:top="979"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20"/>
      <w:jc w:val="center"/>
    </w:pPr>
    <w:r/>
    <w:r>
      <w:rPr>
        <w:rFonts w:ascii="Liberation Sans" w:hAnsi="Liberation Sans"/>
        <w:b w:val="0"/>
        <w:i w:val="0"/>
        <w:color w:val="6B7280"/>
        <w:sz w:val="16"/>
      </w:rPr>
      <w:t xml:space="preserve">Chulito · CNF-PRD-001 · v0.4 · Página </w:t>
    </w:r>
    <w:r>
      <w:fldChar w:fldCharType="begin"/>
      <w:instrText xml:space="preserve">PAGE</w:instrText>
      <w:fldChar w:fldCharType="end"/>
    </w:r>
    <w:r>
      <w:rPr>
        <w:rFonts w:ascii="Liberation Sans" w:hAnsi="Liberation Sans"/>
        <w:b w:val="0"/>
        <w:i w:val="0"/>
        <w:color w:val="6B7280"/>
        <w:sz w:val="16"/>
      </w:rPr>
      <w:t xml:space="preserve"> de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jc w:val="center"/>
      <w:pBdr>
        <w:bottom w:val="single" w:sz="4" w:space="1" w:color="E5E7EB"/>
      </w:pBdr>
    </w:pPr>
    <w:r/>
    <w:r>
      <w:rPr>
        <w:rFonts w:ascii="Liberation Sans" w:hAnsi="Liberation Sans"/>
        <w:b w:val="0"/>
        <w:i w:val="0"/>
        <w:color w:val="6B7280"/>
        <w:sz w:val="16"/>
      </w:rPr>
      <w:t>S-0.1 es un escenario simulado, no resultados de entrevistas realizadas.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iberation Sans" w:hAnsi="Liberation San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52" w:lineRule="auto"/>
      <w:outlineLvl w:val="0"/>
    </w:pPr>
    <w:rPr>
      <w:rFonts w:asciiTheme="majorHAnsi" w:eastAsiaTheme="majorEastAsia" w:hAnsiTheme="majorHAnsi" w:cstheme="majorBidi" w:ascii="Liberation Sans" w:hAnsi="Liberation San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20" w:after="100" w:line="252" w:lineRule="auto"/>
      <w:outlineLvl w:val="1"/>
    </w:pPr>
    <w:rPr>
      <w:rFonts w:asciiTheme="majorHAnsi" w:eastAsiaTheme="majorEastAsia" w:hAnsiTheme="majorHAnsi" w:cstheme="majorBidi" w:ascii="Liberation Sans" w:hAnsi="Liberation Sans"/>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60" w:after="60" w:line="252" w:lineRule="auto"/>
      <w:outlineLvl w:val="2"/>
    </w:pPr>
    <w:rPr>
      <w:rFonts w:asciiTheme="majorHAnsi" w:eastAsiaTheme="majorEastAsia" w:hAnsiTheme="majorHAnsi" w:cstheme="majorBidi" w:ascii="Liberation Sans" w:hAnsi="Liberation San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contextualSpacing/>
    </w:pPr>
    <w:rPr>
      <w:rFonts w:ascii="Liberation Sans" w:hAnsi="Liberation Sans"/>
      <w:sz w:val="20"/>
    </w:rPr>
  </w:style>
  <w:style w:type="paragraph" w:styleId="ListBullet2">
    <w:name w:val="List Bullet 2"/>
    <w:basedOn w:val="Normal"/>
    <w:uiPriority w:val="99"/>
    <w:unhideWhenUsed/>
    <w:rsid w:val="00326F90"/>
    <w:pPr>
      <w:numPr>
        <w:numId w:val="2"/>
      </w:numPr>
      <w:spacing w:after="40" w:line="252" w:lineRule="auto"/>
      <w:contextualSpacing/>
    </w:pPr>
    <w:rPr>
      <w:rFonts w:ascii="Liberation Sans" w:hAnsi="Liberation San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2" w:lineRule="auto"/>
      <w:contextualSpacing/>
    </w:pPr>
    <w:rPr>
      <w:rFonts w:ascii="Liberation Sans" w:hAnsi="Liberation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Liberation Sans" w:hAnsi="Liberation Sans"/>
      <w:i/>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Chulito — PRD v0.4</dc:title>
  <dc:subject>Documento de requisitos del producto; visión y alcance</dc:subject>
  <dc:creator>Edwin Carabalí</dc:creator>
  <cp:keywords>Chulito, CNF-PRD-001, PRD, requisitos, SRS CNF-SRS-001</cp:keywords>
  <dc:description>Draft / Borrador para revisión. S-0.1 es un escenario simulado, no resultados de entrevistas realizadas.</dc:description>
  <cp:lastModifiedBy/>
  <cp:revision>1</cp:revision>
  <dcterms:created xsi:type="dcterms:W3CDTF">2013-12-23T23:15:00Z</dcterms:created>
  <dcterms:modified xsi:type="dcterms:W3CDTF">2013-12-23T23:15:00Z</dcterms:modified>
  <cp:category/>
</cp:coreProperties>
</file>