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80"/>
        <w:jc w:val="center"/>
      </w:pPr>
      <w:r>
        <w:rPr>
          <w:rFonts w:ascii="Aptos Display" w:hAnsi="Aptos Display"/>
          <w:b/>
          <w:color w:val="1F4E79"/>
          <w:sz w:val="62"/>
        </w:rPr>
        <w:t>CHULITO</w:t>
      </w:r>
    </w:p>
    <w:p>
      <w:pPr>
        <w:spacing w:after="320"/>
        <w:jc w:val="center"/>
      </w:pPr>
      <w:r>
        <w:rPr>
          <w:rFonts w:ascii="Aptos" w:hAnsi="Aptos"/>
          <w:color w:val="1F2937"/>
          <w:sz w:val="34"/>
        </w:rPr>
        <w:t>Especificación de requisitos de software (SRS)</w:t>
      </w:r>
    </w:p>
    <w:p>
      <w:pPr>
        <w:jc w:val="center"/>
      </w:pPr>
      <w:r>
        <w:rPr>
          <w:rFonts w:ascii="Aptos" w:hAnsi="Aptos"/>
          <w:color w:val="5B6B7A"/>
          <w:sz w:val="24"/>
        </w:rPr>
        <w:t>Fase 0 — Requisitos · Actualización profesional v0.4</w:t>
      </w:r>
    </w:p>
    <w:p>
      <w:pPr>
        <w:spacing w:after="2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 w:val="true"/>
        </w:trPr>
        <w:tc>
          <w:tcPr>
            <w:tcW w:type="dxa" w:w="10166"/>
            <w:shd w:fill="FFF2CC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after="40"/>
            </w:pPr>
            <w:r/>
            <w:r>
              <w:rPr>
                <w:b/>
                <w:color w:val="1F4E79"/>
                <w:sz w:val="20"/>
              </w:rPr>
              <w:t xml:space="preserve">CLÁUSULA DE CONTEXTO: </w:t>
            </w:r>
            <w:r>
              <w:rPr>
                <w:color w:val="1F2937"/>
                <w:sz w:val="20"/>
              </w:rPr>
              <w:t>S-0.1 es un escenario simulado, no resultados de entrevistas realizadas. El escenario no constituye evidencia de campo ni aprobación.</w:t>
            </w:r>
          </w:p>
        </w:tc>
      </w:tr>
    </w:tbl>
    <w:p>
      <w:pPr>
        <w:spacing w:after="0"/>
      </w:pPr>
    </w:p>
    <w:p>
      <w:pPr>
        <w:spacing w:after="16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096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768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Nombre visible del producto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Chulito (antes Confirma)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Código histórico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CNF-SRS-001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Versión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0.4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Fecha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17 de octubre de 2026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Documento de origen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PRD CNF-PRD-001 v0.4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Autor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Edwin Carabalí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Estado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Borrador de trabajo; pendiente de revisión y aprobación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Clasificación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Interno — borrador de trabajo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Referencia estructural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Alineación editorial con ISO/IEC/IEEE 29148:2018 (2.ª ed.); no certificación ni declaración formal de conformidad</w:t>
            </w:r>
          </w:p>
        </w:tc>
      </w:tr>
    </w:tbl>
    <w:p>
      <w:pPr>
        <w:spacing w:after="0"/>
      </w:pPr>
    </w:p>
    <w:p>
      <w:pPr>
        <w:spacing w:after="80"/>
      </w:pPr>
    </w:p>
    <w:p>
      <w:pPr>
        <w:spacing w:before="240" w:after="0"/>
        <w:jc w:val="center"/>
      </w:pPr>
      <w:r>
        <w:rPr>
          <w:i/>
          <w:color w:val="5B6B7A"/>
          <w:sz w:val="18"/>
        </w:rPr>
        <w:t>Documento vivo · cada cambio incrementa la versión y se registra en el historial</w:t>
      </w:r>
    </w:p>
    <w:p>
      <w:r>
        <w:br w:type="page"/>
      </w:r>
    </w:p>
    <w:p>
      <w:pPr>
        <w:pStyle w:val="Heading1"/>
        <w:keepNext w:val="1"/>
      </w:pPr>
      <w:r>
        <w:t>Control del documento</w:t>
      </w:r>
    </w:p>
    <w:p>
      <w:pPr/>
      <w:r>
        <w:t>Este SRS conserva el código histórico CNF-SRS-001 aunque el nombre visible del producto haya cambiado de Confirma a Chulito. CNF es un prefijo histórico del proyecto y no implica que el producto visible deba llamarse Confirma.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880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984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Código del documento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CNF-SRS-001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Título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Especificación de requisitos de software (SRS)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Proyecto / nombre visible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Chulito (antes Confirma)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Versión vigente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0.4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Fecha de emisión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17-oct-2026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Documento de origen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PRD CNF-PRD-001 v0.4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Estado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Borrador; pendiente de revisión y aprobación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Alcance normativo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Estructura alineada con ISO/IEC/IEEE 29148:2018 (2.ª ed.); no certificación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Idioma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Español (Colombia)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S-0.1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S-0.1 es un escenario simulado, no resultados de entrevistas realizadas.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Historial de revisiones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1008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1656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1800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Autor</w:t>
            </w:r>
          </w:p>
        </w:tc>
        <w:tc>
          <w:tcPr>
            <w:tcW w:type="dxa" w:w="5400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Descripción del cambio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0.1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11-oct-2026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Edwin Carabalí</w:t>
            </w:r>
          </w:p>
        </w:tc>
        <w:tc>
          <w:tcPr>
            <w:tcW w:type="dxa" w:w="5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Primer borrador derivado del PRD v0.2.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Formato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12-oct-2026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Edwin Carabalí</w:t>
            </w:r>
          </w:p>
        </w:tc>
        <w:tc>
          <w:tcPr>
            <w:tcW w:type="dxa" w:w="5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Edición profesional y aclaración del alcance de alineación; requisitos, identificadores y TBD conservados.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0.2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13-oct-2026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Edwin Carabalí</w:t>
            </w:r>
          </w:p>
        </w:tc>
        <w:tc>
          <w:tcPr>
            <w:tcW w:type="dxa" w:w="5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Actualizó origen al PRD v0.3 y corrigió trazas RF-06; la revisión v0.3 aclara que S-0.1 es simulado, no evidencia de entrevistas.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0.3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17-oct-2026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Edwin Carabalí</w:t>
            </w:r>
          </w:p>
        </w:tc>
        <w:tc>
          <w:tcPr>
            <w:tcW w:type="dxa" w:w="5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Aclaración explícita de S-0.1; se registran validación de producto, spike ADR-0001 y port a TypeScript/NestJS como pendientes.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0.4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17-oct-2026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Edwin Carabalí</w:t>
            </w:r>
          </w:p>
        </w:tc>
        <w:tc>
          <w:tcPr>
            <w:tcW w:type="dxa" w:w="5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Cambio de nombre visible a Chulito manteniendo CNF-SRS-001; historias y casos de uso con trazas; estado del cobro editable; fallos de canal, retraso/pérdida, recuperación, reintentos, consentimientos y exportación estructurada; medición reproducible de NFR-01; decisiones y pendientes TBD actualizados sin inventar pruebas, cuentas, aprobaciones ni cumplimiento.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Aprobaciones y distribución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1800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Rol</w:t>
            </w:r>
          </w:p>
        </w:tc>
        <w:tc>
          <w:tcPr>
            <w:tcW w:type="dxa" w:w="2880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2448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Firma</w:t>
            </w:r>
          </w:p>
        </w:tc>
        <w:tc>
          <w:tcPr>
            <w:tcW w:type="dxa" w:w="2736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Fecha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Elaboró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Edwin Carabalí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</w:r>
          </w:p>
        </w:tc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11-oct-2026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Revisó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Pendiente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</w:r>
          </w:p>
        </w:tc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Aprobó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Pendiente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</w:r>
          </w:p>
        </w:tc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</w:r>
          </w:p>
        </w:tc>
      </w:tr>
    </w:tbl>
    <w:p>
      <w:pPr>
        <w:spacing w:after="0"/>
      </w:pPr>
    </w:p>
    <w:p>
      <w:pPr/>
      <w:r>
        <w:t>Distribución: repositorio del proyecto, carpeta docs/. No se registra ninguna aprobación como realizada.</w:t>
      </w:r>
    </w:p>
    <w:p>
      <w:pPr>
        <w:pStyle w:val="Heading1"/>
        <w:keepNext w:val="1"/>
      </w:pPr>
      <w:r>
        <w:t>Tabla de contenido</w:t>
      </w:r>
    </w:p>
    <w:p>
      <w:pPr/>
      <w:r>
        <w:t>La tabla siguiente se genera desde los estilos de encabezado del documento. En Word o LibreOffice puede actualizarse con F9 / Actualizar campos.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8208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Sección</w:t>
            </w:r>
          </w:p>
        </w:tc>
        <w:tc>
          <w:tcPr>
            <w:tcW w:type="dxa" w:w="1656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Página</w:t>
            </w:r>
          </w:p>
        </w:tc>
      </w:tr>
      <w:tr>
        <w:trPr>
          <w:cantSplit w:val="true"/>
        </w:trPr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1. Introducción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5</w:t>
            </w:r>
          </w:p>
        </w:tc>
      </w:tr>
      <w:tr>
        <w:trPr>
          <w:cantSplit w:val="true"/>
        </w:trPr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2. Descripción general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6</w:t>
            </w:r>
          </w:p>
        </w:tc>
      </w:tr>
      <w:tr>
        <w:trPr>
          <w:cantSplit w:val="true"/>
        </w:trPr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3. Requisitos funcionales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8</w:t>
            </w:r>
          </w:p>
        </w:tc>
      </w:tr>
      <w:tr>
        <w:trPr>
          <w:cantSplit w:val="true"/>
        </w:trPr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4. Historias de usuario y casos de uso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11</w:t>
            </w:r>
          </w:p>
        </w:tc>
      </w:tr>
      <w:tr>
        <w:trPr>
          <w:cantSplit w:val="true"/>
        </w:trPr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5. Criterios de aceptación y verificación de fallas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13</w:t>
            </w:r>
          </w:p>
        </w:tc>
      </w:tr>
      <w:tr>
        <w:trPr>
          <w:cantSplit w:val="true"/>
        </w:trPr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6. Reglas de negocio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14</w:t>
            </w:r>
          </w:p>
        </w:tc>
      </w:tr>
      <w:tr>
        <w:trPr>
          <w:cantSplit w:val="true"/>
        </w:trPr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7. Requisitos no funcionales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15</w:t>
            </w:r>
          </w:p>
        </w:tc>
      </w:tr>
      <w:tr>
        <w:trPr>
          <w:cantSplit w:val="true"/>
        </w:trPr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8. Interfaces externas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17</w:t>
            </w:r>
          </w:p>
        </w:tc>
      </w:tr>
      <w:tr>
        <w:trPr>
          <w:cantSplit w:val="true"/>
        </w:trPr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9. Requisitos de datos (modelo conceptual)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17</w:t>
            </w:r>
          </w:p>
        </w:tc>
      </w:tr>
      <w:tr>
        <w:trPr>
          <w:cantSplit w:val="true"/>
        </w:trPr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10. Diagrama de estado del cobro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18</w:t>
            </w:r>
          </w:p>
        </w:tc>
      </w:tr>
      <w:tr>
        <w:trPr>
          <w:cantSplit w:val="true"/>
        </w:trPr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11. Trazabilidad y verificación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19</w:t>
            </w:r>
          </w:p>
        </w:tc>
      </w:tr>
      <w:tr>
        <w:trPr>
          <w:cantSplit w:val="true"/>
        </w:trPr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12. Pendientes y decisiones abiertas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20</w:t>
            </w:r>
          </w:p>
        </w:tc>
      </w:tr>
      <w:tr>
        <w:trPr>
          <w:cantSplit w:val="true"/>
        </w:trPr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13. Notas de control de cambios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21</w:t>
            </w:r>
          </w:p>
        </w:tc>
      </w:tr>
    </w:tbl>
    <w:p>
      <w:pPr>
        <w:spacing w:after="0"/>
      </w:pPr>
    </w:p>
    <w:p>
      <w:pPr/>
      <w:r>
        <w:t>La numeración de página corresponde a esta versión v0.4 renderizada; si se modifica el contenido, actualice esta tabla y la paginación.</w:t>
      </w:r>
    </w:p>
    <w:p>
      <w:r>
        <w:br w:type="page"/>
      </w:r>
    </w:p>
    <w:p>
      <w:pPr>
        <w:pStyle w:val="Heading1"/>
        <w:keepNext w:val="1"/>
      </w:pPr>
      <w:r>
        <w:t>1. Introducción</w:t>
      </w:r>
    </w:p>
    <w:p>
      <w:pPr>
        <w:pStyle w:val="Heading2"/>
        <w:keepNext w:val="1"/>
      </w:pPr>
      <w:r>
        <w:t>1.1 Propósito</w:t>
      </w:r>
    </w:p>
    <w:p>
      <w:pPr/>
      <w:r>
        <w:t>Este documento define qué debe hacer Chulito y con qué calidad, de forma que cada requisito sea numerado, verificable y trazable al PRD CNF-PRD-001 v0.4. La actualización v0.4 agrega trazas de uso, criterios verificables para fallas de canal y latencia, y decisiones de producto explícitas, sin afirmar validación de campo.</w:t>
      </w:r>
    </w:p>
    <w:p>
      <w:pPr>
        <w:pStyle w:val="Heading2"/>
        <w:keepNext w:val="1"/>
      </w:pPr>
      <w:r>
        <w:t>1.2 Alcance</w:t>
      </w:r>
    </w:p>
    <w:p>
      <w:pPr/>
      <w:r>
        <w:t>Chulito permite que un negocio pequeño con empleados confirme pagos digitales recibidos y lleve un libro diario unificado de varios emisores. No custodia ni mueve dinero, no reemplaza facturación ni punto de venta y no usa integraciones oficiales con bancos. La captura depende de una vía controlada por el usuario; TBD-1 continúa pendiente de ADR y prueba real autorizada.</w:t>
      </w:r>
    </w:p>
    <w:p>
      <w:pPr>
        <w:pStyle w:val="Heading2"/>
        <w:keepNext w:val="1"/>
      </w:pPr>
      <w:r>
        <w:t>1.3 Estado del contenido y límites de evidencia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 w:val="true"/>
        </w:trPr>
        <w:tc>
          <w:tcPr>
            <w:tcW w:type="dxa" w:w="10166"/>
            <w:shd w:fill="FFF2CC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after="40"/>
            </w:pPr>
            <w:r/>
            <w:r>
              <w:rPr>
                <w:b/>
                <w:color w:val="1F4E79"/>
                <w:sz w:val="20"/>
              </w:rPr>
              <w:t xml:space="preserve">ESTADO: </w:t>
            </w:r>
            <w:r>
              <w:rPr>
                <w:color w:val="1F2937"/>
                <w:sz w:val="20"/>
              </w:rPr>
              <w:t>S-0.1 es un escenario simulado, no resultados de entrevistas realizadas. Las cifras, ejemplos y escenarios S-0.1 son supuestos de trabajo; no validan segmento, problema, alcance, preferencias, disponibilidad de emisores, pagos recibidos ni rendimiento.</w:t>
            </w:r>
          </w:p>
        </w:tc>
      </w:tr>
    </w:tbl>
    <w:p>
      <w:pPr>
        <w:spacing w:after="0"/>
      </w:pPr>
    </w:p>
    <w:p>
      <w:pPr/>
      <w:r>
        <w:t>No se han creado cuentas de emisores ni se afirma que se hayan producido eventos con cuentas del agente. No se inventan pagos, resultados de entrevistas, pruebas reales, aprobaciones ni cumplimiento legal.</w:t>
      </w:r>
    </w:p>
    <w:p>
      <w:pPr>
        <w:pStyle w:val="Heading2"/>
        <w:keepNext w:val="1"/>
      </w:pPr>
      <w:r>
        <w:t>1.4 Referencias</w:t>
      </w:r>
    </w:p>
    <w:p>
      <w:pPr>
        <w:pStyle w:val="ListBullet"/>
      </w:pPr>
      <w:r>
        <w:t>PRD CNF-PRD-001 v0.4.</w:t>
      </w:r>
    </w:p>
    <w:p>
      <w:pPr>
        <w:pStyle w:val="ListBullet"/>
      </w:pPr>
      <w:r>
        <w:t>SRS CNF-SRS-001 v0.3 (antecedente histórico); PRD CNF-PRD-001 v0.4 es la fuente de trazabilidad vigente.</w:t>
      </w:r>
    </w:p>
    <w:p>
      <w:pPr>
        <w:pStyle w:val="ListBullet"/>
      </w:pPr>
      <w:r>
        <w:t>Guía de entrevistas v0.1 e Informe de hallazgos S-0.1, únicamente como contexto simulado; no evidencia de campo.</w:t>
      </w:r>
    </w:p>
    <w:p>
      <w:pPr>
        <w:pStyle w:val="ListBullet"/>
      </w:pPr>
      <w:r>
        <w:t>ISO/IEC/IEEE 29148:2018 (2.ª ed.), como referencia estructural editorial.</w:t>
      </w:r>
    </w:p>
    <w:p>
      <w:pPr>
        <w:pStyle w:val="ListBullet"/>
      </w:pPr>
      <w:r>
        <w:t>Ley 1581 de 2012, sujeta a asesoría legal; este SRS no afirma cumplimiento.</w:t>
      </w:r>
    </w:p>
    <w:p>
      <w:pPr>
        <w:pStyle w:val="Heading2"/>
        <w:keepNext w:val="1"/>
      </w:pPr>
      <w:r>
        <w:t>1.5 Convenciones</w:t>
      </w:r>
    </w:p>
    <w:p>
      <w:pPr/>
      <w:r>
        <w:t>Debe = obligatorio; debería = recomendable; podrá = capacidad opcional. Prioridad: Alta, Media o Baja. Identificadores: SRS-F-xx (funcional), SRS-NFR-xx (no funcional), SRS-RN-xx (regla de negocio). [HIP] identifica una hipótesis o meta provisional. [PROPUESTA] identifica una propuesta sujeta a revisión; no es aprobación. TBD-n identifica un pendiente.</w:t>
      </w:r>
    </w:p>
    <w:p>
      <w:pPr>
        <w:pStyle w:val="Heading2"/>
        <w:keepNext w:val="1"/>
      </w:pPr>
      <w:r>
        <w:t>1.6 Glosario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232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Término</w:t>
            </w:r>
          </w:p>
        </w:tc>
        <w:tc>
          <w:tcPr>
            <w:tcW w:type="dxa" w:w="7632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Significado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CNF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Prefijo histórico del proyecto y del código CNF-SRS-001; no cambia el nombre visible Chulito.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Chulito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Nombre visible del producto, antes Confirma.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Emisor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Banco o billetera que genera la notificación de un pago.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Notificación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Mensaje que un emisor envía al titular al recibir un pago.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Adaptador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Componente que captura y entrega una notificación al pipeline; la captura marca el inicio de NFR-01.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Parser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Componente que extrae datos normalizados de una notificación.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Cobro esperado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Cobro que el cajero registra antes de que llegue el pago.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Emparejamiento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Asociación entre un cobro esperado y un pago recibido.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Ventana de emparejamiento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Tiempo máximo entre el cobro esperado y el pago; TBD-3 es provisionalmente de 10 minutos.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Huella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Valor calculado a partir de un mensaje para detectar duplicados.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tenant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Negocio y límite de aislamiento lógico de sus datos.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occurred_at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Instante del evento de pago informado por el emisor, si existe; no equivale a received_at.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received_at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Instante en que el adaptador captura y acepta el mensaje; inicia la medición de NFR-01.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Brecha potencial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Indicio de que un canal o componente pudo omitir eventos; no es evidencia de un pago y nunca crea uno automáticamente.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ADR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Architecture Decision Record; registro de decisión técnica. ADR-0001 se refiere al stack y compatibilidad pendiente.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2. Descripción general</w:t>
      </w:r>
    </w:p>
    <w:p>
      <w:pPr>
        <w:pStyle w:val="Heading2"/>
        <w:keepNext w:val="1"/>
      </w:pPr>
      <w:r>
        <w:t>2.1 Perspectiva</w:t>
      </w:r>
    </w:p>
    <w:p>
      <w:pPr/>
      <w:r>
        <w:t>Servicio web independiente que recibe notificaciones de pago por una vía de captura que el usuario controla, las normaliza y las presenta al cajero y al dueño. El pipeline conceptual es: adaptador → recepción con correlación → huella/idempotencia → parser → normalización → emparejamiento → vista del cajero → libro diario y auditoría.</w:t>
      </w:r>
    </w:p>
    <w:p>
      <w:pPr>
        <w:pStyle w:val="Heading2"/>
        <w:keepNext w:val="1"/>
      </w:pPr>
      <w:r>
        <w:t>2.2 Funciones principales</w:t>
      </w:r>
    </w:p>
    <w:p>
      <w:pPr>
        <w:pStyle w:val="ListBullet"/>
      </w:pPr>
      <w:r>
        <w:t>Gestión de cuentas, roles y aislamiento por negocio.</w:t>
      </w:r>
    </w:p>
    <w:p>
      <w:pPr>
        <w:pStyle w:val="ListBullet"/>
      </w:pPr>
      <w:r>
        <w:t>Captura, conservación controlada y normalización de notificaciones.</w:t>
      </w:r>
    </w:p>
    <w:p>
      <w:pPr>
        <w:pStyle w:val="ListBullet"/>
      </w:pPr>
      <w:r>
        <w:t>Presentación en vivo de cobros y pagos al cajero, sin fabricar pagos cuando un canal falla.</w:t>
      </w:r>
    </w:p>
    <w:p>
      <w:pPr>
        <w:pStyle w:val="ListBullet"/>
      </w:pPr>
      <w:r>
        <w:t>Emparejamiento con cobros esperados y estados Pendiente, Confirmado, Dudoso o Vencido.</w:t>
      </w:r>
    </w:p>
    <w:p>
      <w:pPr>
        <w:pStyle w:val="ListBullet"/>
      </w:pPr>
      <w:r>
        <w:t>Libro diario unificado por negocio, fecha, emisor y cajero.</w:t>
      </w:r>
    </w:p>
    <w:p>
      <w:pPr>
        <w:pStyle w:val="ListBullet"/>
      </w:pPr>
      <w:r>
        <w:t>Auditoría, consentimiento explícito y revocable, retención diferenciada y exportación estructurada de datos propios.</w:t>
      </w:r>
    </w:p>
    <w:p>
      <w:pPr>
        <w:pStyle w:val="Heading2"/>
        <w:keepNext w:val="1"/>
      </w:pPr>
      <w:r>
        <w:t>2.3 Roles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944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Rol</w:t>
            </w:r>
          </w:p>
        </w:tc>
        <w:tc>
          <w:tcPr>
            <w:tcW w:type="dxa" w:w="3240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4680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Permisos principales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Dueño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Titular del negocio en el sistema.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Todo lo de su tenant: cajeros, configuración, consentimientos, libro, exportación y resolución de dudosos.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Cajero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Empleado que recibe pagos.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Ver pagos de su negocio y registrar cobros esperados; sin configuración, credenciales ni exportación global.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Operador técnico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Quien despliega y opera el servicio.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Estado técnico y métricas sin acceso al contenido de los pagos de los negocios.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Titular de los datos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Persona natural o negocio cuyos datos propios están en el tenant.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Puede otorgar o revocar consentimiento según el flujo habilitado y solicitar sus datos propios mediante el dueño/control tenant.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2.4 Restricciones y decisiones técnicas conocidas</w:t>
      </w:r>
    </w:p>
    <w:p>
      <w:pPr>
        <w:pStyle w:val="ListBullet"/>
      </w:pPr>
      <w:r>
        <w:t>Un solo desarrollador; sin API oficial de bancos; dependencia de formatos de mensaje que pueden cambiar; datos financieros sensibles.</w:t>
      </w:r>
    </w:p>
    <w:p>
      <w:pPr>
        <w:pStyle w:val="ListBullet"/>
      </w:pPr>
      <w:r>
        <w:t>El stack objetivo es NestJS con TypeScript; versiones de Node.js, TypeScript, NestJS, dependencias, toolchain y CI deben verificarse en el spike pendiente de ADR-0001 (TBD-8).</w:t>
      </w:r>
    </w:p>
    <w:p>
      <w:pPr>
        <w:pStyle w:val="ListBullet"/>
      </w:pPr>
      <w:r>
        <w:t>La vertical slice actual en Python es una especificación ejecutable, no código de producción; su port a TypeScript/NestJS está pendiente (TBD-9).</w:t>
      </w:r>
    </w:p>
    <w:p>
      <w:pPr>
        <w:pStyle w:val="ListBullet"/>
      </w:pPr>
      <w:r>
        <w:t>El sistema no puede conocer un pago que nunca fue entregado por el canal; solo puede reportar una brecha potencial a partir de señales observables y no crear un pago sintético.</w:t>
      </w:r>
    </w:p>
    <w:p>
      <w:pPr>
        <w:pStyle w:val="Heading2"/>
        <w:keepNext w:val="1"/>
      </w:pPr>
      <w:r>
        <w:t>2.5 Supuestos</w:t>
      </w:r>
    </w:p>
    <w:p>
      <w:pPr>
        <w:pStyle w:val="ListBullet"/>
      </w:pPr>
      <w:r>
        <w:t>A1 [HIP]: las notificaciones de emisores objetivo traen monto, fecha y algún identificador suficiente para confirmar un pago.</w:t>
      </w:r>
    </w:p>
    <w:p>
      <w:pPr>
        <w:pStyle w:val="ListBullet"/>
      </w:pPr>
      <w:r>
        <w:t>A2 [HIP]: el usuario acepta una vía de captura que él controle; sujeto a TBD-1.</w:t>
      </w:r>
    </w:p>
    <w:p>
      <w:pPr>
        <w:pStyle w:val="ListBullet"/>
      </w:pPr>
      <w:r>
        <w:t>A3: se dispone de muestras reales y anonimizadas, autorizadas, para construir y probar parsers; sigue abierto TBD-2.</w:t>
      </w:r>
    </w:p>
    <w:p>
      <w:pPr>
        <w:pStyle w:val="ListBullet"/>
      </w:pPr>
      <w:r>
        <w:t>A4 [PROPUESTA]: el dueño controla el consentimiento del tenant para captura y para avisos; la revocación debe quedar auditada y su detalle legal depende de TBD-6.</w:t>
      </w:r>
    </w:p>
    <w:p>
      <w:pPr>
        <w:pStyle w:val="Heading2"/>
        <w:keepNext w:val="1"/>
      </w:pPr>
      <w:r>
        <w:t>2.6 Consentimiento y control de datos</w:t>
      </w:r>
    </w:p>
    <w:p>
      <w:pPr/>
      <w:r>
        <w:t>Antes de habilitar la captura, el flujo debe registrar consentimiento explícito, informado y revocable para la captura de notificaciones y, por separado o de forma claramente distinguible, para los avisos de brechas/incidencias. El registro incluye tenant, actor, alcance, versión del texto mostrado, fecha/hora, estado y revocación. Revocar evita nuevas capturas/avisos según el alcance revocado; no borra automáticamente historiales que deban conservarse por una obligación o por una solicitud separada, y cualquier efecto debe quedar explicado al titular.</w:t>
      </w:r>
    </w:p>
    <w:p>
      <w:pPr/>
      <w:r>
        <w:t>El control tenant impide que un cajero u otro negocio exporte datos ajenos. La exportación estructurada se limita a datos propios del titular/negocio y respeta permisos, filtros y auditoría; no habilita acceso del operador técnico al contenido.</w:t>
      </w:r>
    </w:p>
    <w:p>
      <w:pPr>
        <w:pStyle w:val="Heading1"/>
        <w:keepNext w:val="1"/>
      </w:pPr>
      <w:r>
        <w:t>3. Requisitos funcionales</w:t>
      </w:r>
    </w:p>
    <w:p>
      <w:pPr/>
      <w:r>
        <w:t>Los siguientes IDs mantienen exactamente la numeración heredada. Las ampliaciones v0.4 agregan condiciones verificables sin renumerar ni romper las trazas RF del PRD.</w:t>
      </w:r>
    </w:p>
    <w:p>
      <w:pPr>
        <w:pStyle w:val="Heading2"/>
        <w:keepNext w:val="1"/>
      </w:pPr>
      <w:r>
        <w:t>3.1 Cuentas y roles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1440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6048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Requisito verificable v0.4</w:t>
            </w:r>
          </w:p>
        </w:tc>
        <w:tc>
          <w:tcPr>
            <w:tcW w:type="dxa" w:w="1224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Prioridad</w:t>
            </w:r>
          </w:p>
        </w:tc>
        <w:tc>
          <w:tcPr>
            <w:tcW w:type="dxa" w:w="1152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Origen (PRD)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SRS-F-01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El sistema debe permitir registrar un negocio y su cuenta de dueño.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PRD §7.1: registro (derivado)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SRS-F-02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El sistema debe autenticar a los usuarios y cerrar las sesiones inactivas tras un tiempo configurable.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PRD §7.1: autenticación (derivado)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SRS-F-03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El dueño debe poder crear, listar y revocar cuentas de cajero; la revocación debe invalidar las solicitudes posteriores de esa cuenta.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RF-07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SRS-F-04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Un cajero debe tener permisos limitados a ver pagos de su negocio y registrar cobros esperados; no puede ver credenciales, consentimientos administrativos ni configuración de captura.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RF-07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SRS-F-05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El sistema debe aislar completamente los datos de cada negocio (multi-tenant), incluidos pagos, mensajes, auditoría, consentimientos y exportaciones. Un acceso cruzado se rechaza sin revelar si el otro negocio existe.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RF-06, RNF-01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3.2 Captura y normalización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1440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6048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Requisito verificable v0.4</w:t>
            </w:r>
          </w:p>
        </w:tc>
        <w:tc>
          <w:tcPr>
            <w:tcW w:type="dxa" w:w="1224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Prioridad</w:t>
            </w:r>
          </w:p>
        </w:tc>
        <w:tc>
          <w:tcPr>
            <w:tcW w:type="dxa" w:w="1152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Origen (PRD)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SRS-F-10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El sistema debe recibir notificaciones de pago por la vía definida en TBD-1, solo cuando el consentimiento de captura del tenant esté vigente; si el canal está caído, debe marcar captura degradada y no crear pagos sintéticos.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RF-01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SRS-F-11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El sistema debe identificar el emisor de cada mensaje y asignarlo al parser correspondiente; cuando no pueda identificarlo, debe conservar el mensaje como no reconocido.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RF-01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SRS-F-12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El sistema debe extraer y normalizar monto en COP, fecha/hora del evento (occurred_at si está disponible), emisor, referencia y tipo de operación, conservando received_at por separado.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RF-01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SRS-F-13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El sistema debe calcular una huella por mensaje y no procesar dos veces el mismo mensaje; los reintentos son idempotentes y no generan segundo pago.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RF-02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SRS-F-14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El sistema debe conservar los mensajes que ningún parser reconozca y avisar al dueño, sin descartarlos en silencio ni convertirlos en pagos.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RF-01; RK2 (derivado)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SRS-F-15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El sistema debería mostrar al dueño el estado de la captura: última captura del adaptador, estado del canal, errores recientes, reintentos y brechas potenciales observadas. Una brecha potencial no equivale a un pago perdido confirmado.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Media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RK2; RK3 (derivado)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3.3 Confirmación y emparejamiento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1440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6048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Requisito verificable v0.4</w:t>
            </w:r>
          </w:p>
        </w:tc>
        <w:tc>
          <w:tcPr>
            <w:tcW w:type="dxa" w:w="1224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Prioridad</w:t>
            </w:r>
          </w:p>
        </w:tc>
        <w:tc>
          <w:tcPr>
            <w:tcW w:type="dxa" w:w="1152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Origen (PRD)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SRS-F-20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El cajero debe ver en tiempo real los pagos recibidos de su negocio; si el canal está caído o el evento está retrasado, la interfaz muestra el estado y no rellena la ausencia con un pago.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RF-03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SRS-F-21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El cajero debe poder registrar un cobro esperado con monto y referencia opcional.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RF-04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SRS-F-22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El sistema debe emparejar automáticamente un cobro esperado con un pago recibido dentro de la ventana de emparejamiento (SRS-RN-03), dejando trazas correlacionadas del evento.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RF-04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SRS-F-23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Cada cobro debe tener un estado: Pendiente, Confirmado, Dudoso o Vencido.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RF-03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SRS-F-24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El sistema debe marcar como Dudoso un pago cuyo monto o referencia no coincide con el cobro esperado, o que llega fuera de la ventana; un evento tardío no se presenta como confirmado por el mero hecho de existir.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Media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RF-08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SRS-F-25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El dueño debe poder resolver manualmente un cobro Dudoso, dejando constancia en la auditoría y sin modificar el pago confirmado original.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Media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RF-08, RNF-04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3.4 Libro diario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1440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6048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Requisito verificable v0.4</w:t>
            </w:r>
          </w:p>
        </w:tc>
        <w:tc>
          <w:tcPr>
            <w:tcW w:type="dxa" w:w="1224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Prioridad</w:t>
            </w:r>
          </w:p>
        </w:tc>
        <w:tc>
          <w:tcPr>
            <w:tcW w:type="dxa" w:w="1152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Origen (PRD)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SRS-F-30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El sistema debe mantener un libro diario por negocio y fecha con los pagos de todos los emisores, diferenciando occurred_at de received_at cuando ambos existan.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RF-05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SRS-F-31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El sistema debería generar el cierre del día con totales por emisor y por cajero y las diferencias frente a los cobros esperados, sin tratar una brecha potencial como pago.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Media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RF-05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SRS-F-32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El sistema podrá exportar [PROPUESTA: CSV y JSON] datos estructurados propios del titular/negocio —pagos, cobros, estados, auditoría y consentimientos según permiso— con filtros de fecha y tenant controlados por el dueño; no exporta datos de otros negocios.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Baja (después del MVP)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PRD, después del MVP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3.5 Auditoría, consentimiento y datos personales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1440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6048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Requisito verificable v0.4</w:t>
            </w:r>
          </w:p>
        </w:tc>
        <w:tc>
          <w:tcPr>
            <w:tcW w:type="dxa" w:w="1224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Prioridad</w:t>
            </w:r>
          </w:p>
        </w:tc>
        <w:tc>
          <w:tcPr>
            <w:tcW w:type="dxa" w:w="1152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Origen (PRD)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SRS-F-40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El sistema debe registrar en auditoría las altas/bajas de cajeros, resoluciones manuales, cambios de configuración de captura, inicios de sesión fallidos, otorgamientos/revocaciones de consentimiento, exportaciones y avisos de brecha.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Media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RNF-04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SRS-F-41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El dueño debe poder solicitar la eliminación de sus datos y los de su equipo, conforme a la política de retención de TBD-4; la solicitud, alcance, resultado y límites de backup quedan auditados.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RNF-02</w:t>
            </w:r>
          </w:p>
        </w:tc>
      </w:tr>
    </w:tbl>
    <w:p>
      <w:pPr>
        <w:spacing w:after="0"/>
      </w:pPr>
    </w:p>
    <w:p>
      <w:pPr/>
      <w:r>
        <w:t>Control de consentimiento: la activación de captura y de avisos requiere confirmación explícita; la revocación debe ser posible desde un flujo autenticado y dejar una marca de tiempo. La UI debe expresar que no se custodian ni se mueven fondos. El detalle de derechos, bases legales y plazos queda sujeto a revisión legal (TBD-6); no se afirma cumplimiento.</w:t>
      </w:r>
    </w:p>
    <w:p>
      <w:pPr>
        <w:pStyle w:val="Heading1"/>
        <w:keepNext w:val="1"/>
      </w:pPr>
      <w:r>
        <w:t>4. Historias de usuario y casos de uso</w:t>
      </w:r>
    </w:p>
    <w:p>
      <w:pPr/>
      <w:r>
        <w:t>Estas historias y casos de uso son artefactos de especificación, no evidencia de entrevistas. Cada uno traza a IDs existentes y a RF del PRD.</w:t>
      </w:r>
    </w:p>
    <w:p>
      <w:pPr>
        <w:pStyle w:val="Heading2"/>
        <w:keepNext w:val="1"/>
      </w:pPr>
      <w:r>
        <w:t>4.1 Historias de usuario con trazas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1008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4032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Historia</w:t>
            </w:r>
          </w:p>
        </w:tc>
        <w:tc>
          <w:tcPr>
            <w:tcW w:type="dxa" w:w="3312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Trazas SRS</w:t>
            </w:r>
          </w:p>
        </w:tc>
        <w:tc>
          <w:tcPr>
            <w:tcW w:type="dxa" w:w="1440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Trazas PRD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US-01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Como dueño, quiero registrar mi negocio y un cajero para separar responsabilidades.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SRS-F-01, SRS-F-02, SRS-F-03, SRS-F-04, SRS-F-05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PRD §7.1, RF-06, RF-07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US-02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Como dueño, quiero habilitar o revocar explícitamente la captura y los avisos para controlar el tratamiento de mis datos.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SRS-F-10, SRS-F-40, SRS-NFR-07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RF-01, RNF-02, RNF-04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US-03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Como cajero, quiero registrar un cobro esperado y ver el pago en vivo para confirmar la venta.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SRS-F-20, SRS-F-21, SRS-F-22, SRS-F-23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RF-03, RF-04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US-04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Como cajero, quiero distinguir un pago dudoso o tardío de uno confirmado para no afirmar una confirmación incorrecta.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SRS-F-23, SRS-F-24, SRS-F-25, SRS-RN-03, SRS-RN-04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RF-08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US-05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Como dueño, quiero ver que el canal está caído, retrasado o con reintentos para investigar una brecha sin que el sistema invente pagos.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SRS-F-14, SRS-F-15, SRS-NFR-04, SRS-NFR-11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RF-01, RF-02, RK2, RK3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US-06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Como dueño, quiero un libro diario y una exportación estructurada de mis datos para revisar operaciones y ejercer control del tenant.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SRS-F-30, SRS-F-31, SRS-F-32, SRS-F-41, SRS-RN-01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RF-05, RNF-02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US-07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Como operador técnico, quiero medir el tiempo desde captura del adaptador hasta render para reportar NFR-01 por canal/emisor sin incluir latencia anterior.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SRS-NFR-01, SRS-NFR-11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Métricas del PRD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US-08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Como dueño, quiero recibir avisos de brecha por canales aprobados para actuar, con consentimiento y sin SMS/push en MVP.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SRS-F-15, SRS-F-40, SRS-NFR-07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RK2, RK3, RNF-02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4.2 Casos de uso con trazas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 w:val="true"/>
        </w:trPr>
        <w:tc>
          <w:tcPr>
            <w:tcW w:type="dxa" w:w="893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1944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Caso de uso</w:t>
            </w:r>
          </w:p>
        </w:tc>
        <w:tc>
          <w:tcPr>
            <w:tcW w:type="dxa" w:w="4176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Flujo y alternos</w:t>
            </w:r>
          </w:p>
        </w:tc>
        <w:tc>
          <w:tcPr>
            <w:tcW w:type="dxa" w:w="1944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Trazas SRS</w:t>
            </w:r>
          </w:p>
        </w:tc>
        <w:tc>
          <w:tcPr>
            <w:tcW w:type="dxa" w:w="907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Trazas PRD</w:t>
            </w:r>
          </w:p>
        </w:tc>
      </w:tr>
      <w:tr>
        <w:trPr>
          <w:cantSplit w:val="true"/>
        </w:trPr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UC-01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Registrar tenant y roles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Actor: dueño. Pre: no existe cuenta. Flujo: registrar negocio → autenticar dueño → crear cajero. Alterno: revocar cajero; solicitudes futuras rechazadas.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SRS-F-01..05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RF-06, RF-07, §7.1</w:t>
            </w:r>
          </w:p>
        </w:tc>
      </w:tr>
      <w:tr>
        <w:trPr>
          <w:cantSplit w:val="true"/>
        </w:trPr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UC-02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Habilitar captura y aviso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Actor: dueño. Flujo: leer alcance → otorgar consentimiento de captura y aviso → registrar versión/fecha → habilitar. Alterno: revocar; detener nuevas capturas/avisos según alcance y auditar.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SRS-F-10, SRS-F-40, SRS-NFR-07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RF-01, RNF-02, RNF-04</w:t>
            </w:r>
          </w:p>
        </w:tc>
      </w:tr>
      <w:tr>
        <w:trPr>
          <w:cantSplit w:val="true"/>
        </w:trPr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UC-03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Ingerir y normalizar notificación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Actor: adaptador. Flujo: capturar → correlacionar → huella → identificar emisor → parsear → normalizar → persistir. Alternos: duplicado idempotente; parser no reconocido; canal caído.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SRS-F-10..15, SRS-NFR-04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RF-01, RF-02, RK2, RK3</w:t>
            </w:r>
          </w:p>
        </w:tc>
      </w:tr>
      <w:tr>
        <w:trPr>
          <w:cantSplit w:val="true"/>
        </w:trPr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UC-04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Confirmar cobro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Actor: cajero. Flujo: registrar cobro → recibir pago → emparejar en ventana → mostrar estado → registrar libro/auditoría. Alterno: monto/referencia fuera de regla → Dudoso.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SRS-F-20..25, SRS-RN-02..04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RF-03, RF-04, RF-08</w:t>
            </w:r>
          </w:p>
        </w:tc>
      </w:tr>
      <w:tr>
        <w:trPr>
          <w:cantSplit w:val="true"/>
        </w:trPr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UC-05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Gestionar brecha potencial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Actor: dueño/operador. Flujo: detectar señal observable → etiquetar canal/tenant → reintentar → notificar in-app/correo con consentimiento → resolver o escalar. Regla: no crear pago por ausencia.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SRS-F-14, SRS-F-15, SRS-NFR-04, SRS-NFR-11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RF-01, RF-02, RK2, RK3, RNF-03</w:t>
            </w:r>
          </w:p>
        </w:tc>
      </w:tr>
      <w:tr>
        <w:trPr>
          <w:cantSplit w:val="true"/>
        </w:trPr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UC-06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Exportar datos propios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Actor: dueño. Flujo: seleccionar tenant/filtros → autorizar → generar CSV/JSON estructurado → registrar auditoría → entregar solo datos propios. Alterno: cajero o tenant ajeno → rechazar.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SRS-F-05, SRS-F-32, SRS-F-40, SRS-F-41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RF-05, RF-06, RNF-02, RNF-04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5. Criterios de aceptación y verificación de fallas</w:t>
      </w:r>
    </w:p>
    <w:p>
      <w:pPr/>
      <w:r>
        <w:t>Los escenarios son verificables en pruebas controladas. No representan que las pruebas hayan sido ejecutadas. Para pruebas con emisores se requieren muestras reales, autorizadas y anonimizadas (TBD-2).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880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Escenario</w:t>
            </w:r>
          </w:p>
        </w:tc>
        <w:tc>
          <w:tcPr>
            <w:tcW w:type="dxa" w:w="6984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Criterio de aceptación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Idempotencia de ingesta (SRS-F-13)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Dado un mensaje M con huella H ya procesado; cuando M llega de nuevo; entonces no se crea segundo pago, se conserva un solo registro y la repetición queda trazada.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Aislamiento entre negocios (SRS-F-05)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Dado un cajero del negocio A; cuando solicita pagos, exportaciones o auditoría del negocio B; entonces se rechaza y no se revela si B existe.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Emparejamiento (SRS-F-22)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Dado un cobro de 25.000 COP creado hace 2 minutos; cuando llega un pago de 25.000 COP con referencia coincidente dentro de la ventana; entonces pasa a Confirmado y se muestra al cajero conforme a NFR-01.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Pago dudoso (SRS-F-24)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Dado un cobro de 25.000 COP; cuando llega un pago de 2.500 COP dentro de la ventana; entonces queda Dudoso y el cobro sigue Pendiente.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No reconocido (SRS-F-14)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Dado un mensaje sin parser reconocible; cuando se recibe; entonces se conserva como no reconocido, se avisa al dueño si hay consentimiento de aviso y no se crea pago.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Revocación de cajero (SRS-F-03)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Dado un cajero con sesión activa; cuando el dueño revoca su cuenta; entonces las siguientes solicitudes se rechazan.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Canal caído (SRS-F-10, SRS-F-15, SRS-NFR-04)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Dado un adaptador sin conexión; cuando el envío no puede confirmarse; entonces el estado del canal pasa a degradado, se registran intentos y error, se aplica reintento con espera creciente, y no se crea pago ni se presenta confirmación inventada.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Evento retrasado (SRS-F-12, SRS-F-24, SRS-RN-03)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Dado un evento con occurred_at anterior y received_at posterior a la ventana; cuando se procesa; entonces se conservan ambos tiempos, se marca como tardío/Dudoso según regla, y no se maquilla la latencia como ocurrencia actual.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Evento perdido / brecha potencial (SRS-F-15, SRS-NFR-04)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Dado que el canal o una cola informa una señal observable de pérdida; cuando se detecta; entonces se registra brecha potencial por tenant/canal, se reintenta o escala, se notifica por in-app/correo si existe consentimiento, y no se crea pago por ausencia.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Recuperación y reintentos (SRS-NFR-04)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Dado un componente caído; cuando vuelve; entonces los mensajes aceptados se reanudan desde almacenamiento duradero, se deduplican por huella, conservan correlación y no duplican pagos.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Consentimiento revocable (SRS-F-10, SRS-F-40, SRS-NFR-07)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Dado consentimiento vigente; cuando el titular lo revoca; entonces la revocación queda auditada y el sistema no inicia nuevas capturas/avisos dentro del alcance revocado; los datos existentes siguen sujetos a retención y solicitudes de eliminación.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Exportación tenant (SRS-F-05, SRS-F-32)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Dado un dueño autenticado; cuando solicita CSV/JSON de su tenant; entonces obtiene datos estructurados permitidos, con filtros, sin datos ajenos, y queda registro de auditoría.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5.1 Notificación de brechas y canales MVP</w:t>
      </w:r>
    </w:p>
    <w:p>
      <w:pPr/>
      <w:r>
        <w:t>TBD-5 queda cerrado por decisión de producto: la notificación de brechas/incidencias se muestra dentro de la aplicación y se envía por correo electrónico, siempre que el consentimiento aplicable esté vigente. SMS y push no se incluyen en el MVP. Un aviso describe señal, tenant, canal, timestamps, intentos y estado; no afirma que existió un pago si solo se observó ausencia o fallo.</w:t>
      </w:r>
    </w:p>
    <w:p>
      <w:pPr>
        <w:pStyle w:val="Heading1"/>
        <w:keepNext w:val="1"/>
      </w:pPr>
      <w:r>
        <w:t>6. Reglas de negocio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1800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8064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Regla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SRS-RN-01</w:t>
            </w:r>
          </w:p>
        </w:tc>
        <w:tc>
          <w:tcPr>
            <w:tcW w:type="dxa" w:w="80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Un pago pertenece a un único negocio.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SRS-RN-02</w:t>
            </w:r>
          </w:p>
        </w:tc>
        <w:tc>
          <w:tcPr>
            <w:tcW w:type="dxa" w:w="80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Un cobro esperado se empareja con un solo pago y un pago con un solo cobro.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SRS-RN-03</w:t>
            </w:r>
          </w:p>
        </w:tc>
        <w:tc>
          <w:tcPr>
            <w:tcW w:type="dxa" w:w="80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La ventana de emparejamiento es de 10 minutos por defecto y configurable por negocio [HIP, TBD-3]. En v0.4, 10 minutos es una ventana provisional pendiente de evidencia del flujo real.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SRS-RN-04</w:t>
            </w:r>
          </w:p>
        </w:tc>
        <w:tc>
          <w:tcPr>
            <w:tcW w:type="dxa" w:w="80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Un pago confirmado no se modifica; cualquier corrección genera un nuevo evento de auditoría.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SRS-RN-05</w:t>
            </w:r>
          </w:p>
        </w:tc>
        <w:tc>
          <w:tcPr>
            <w:tcW w:type="dxa" w:w="80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Un cajero nunca ve credenciales ni la configuración de captura.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SRS-RN-06</w:t>
            </w:r>
          </w:p>
        </w:tc>
        <w:tc>
          <w:tcPr>
            <w:tcW w:type="dxa" w:w="80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El cierre del día usa la zona horaria America/Bogota.</w:t>
            </w:r>
          </w:p>
        </w:tc>
      </w:tr>
    </w:tbl>
    <w:p>
      <w:pPr>
        <w:spacing w:after="0"/>
      </w:pPr>
    </w:p>
    <w:p>
      <w:pPr/>
      <w:r>
        <w:t>Las reglas no convierten un evento retrasado, una señal de canal caído o una brecha potencial en un pago confirmado. La ausencia de una notificación no prueba por sí sola que un pago ocurrió.</w:t>
      </w:r>
    </w:p>
    <w:p>
      <w:pPr>
        <w:pStyle w:val="Heading1"/>
        <w:keepNext w:val="1"/>
      </w:pPr>
      <w:r>
        <w:t>7. Requisitos no funcionales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1440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296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Categoría</w:t>
            </w:r>
          </w:p>
        </w:tc>
        <w:tc>
          <w:tcPr>
            <w:tcW w:type="dxa" w:w="5976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Requisito verificable v0.4</w:t>
            </w:r>
          </w:p>
        </w:tc>
        <w:tc>
          <w:tcPr>
            <w:tcW w:type="dxa" w:w="1152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Prioridad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SRS-NFR-01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Desempeño</w:t>
            </w:r>
          </w:p>
        </w:tc>
        <w:tc>
          <w:tcPr>
            <w:tcW w:type="dxa" w:w="59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El p95 debe ser ≤10 s desde la captura del adaptador (received_at) hasta el render visible en la vista del cajero. Se mide mediante trazas correlacionadas; se reporta por canal y emisor; muestra mínima propuesta: 200 eventos elegibles en 3 sesiones. Se excluye la latencia anterior a la captura. Se distingue occurred_at del evento y no se usa como inicio de la medición. [PROPUESTA de protocolo; evidencia real pendiente de TBD-1].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Alta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SRS-NFR-02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Capacidad</w:t>
            </w:r>
          </w:p>
        </w:tc>
        <w:tc>
          <w:tcPr>
            <w:tcW w:type="dxa" w:w="59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El MVP soporta 20 negocios y 50 notificaciones por minuto en total sin degradar SRS-NFR-01 [por validar].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Media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SRS-NFR-03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Disponibilidad</w:t>
            </w:r>
          </w:p>
        </w:tc>
        <w:tc>
          <w:tcPr>
            <w:tcW w:type="dxa" w:w="59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Objetivo de 99,5 % mensual en el piloto (objetivo, no compromiso contractual).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Media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SRS-NFR-04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Fiabilidad</w:t>
            </w:r>
          </w:p>
        </w:tc>
        <w:tc>
          <w:tcPr>
            <w:tcW w:type="dxa" w:w="59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El procesamiento usa reintentos con espera creciente y almacenamiento duradero; ninguna notificación aceptada se pierde ni se duplica ante la caída de un componente. La recuperación conserva huella, correlación, received_at y occurred_at; ante una señal de evento perdido se informa brecha potencial y nunca se inventa un pago. Verificar con fallos simulados; no es prueba real de un canal de emisor.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Alta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SRS-NFR-05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Seguridad</w:t>
            </w:r>
          </w:p>
        </w:tc>
        <w:tc>
          <w:tcPr>
            <w:tcW w:type="dxa" w:w="59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Requisitos alineados con OWASP ASVS nivel 2 (subconjunto aplicable); contraseñas con Argon2id; TLS en todo el tráfico; secretos fuera del repositorio.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Alta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SRS-NFR-06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Aislamiento</w:t>
            </w:r>
          </w:p>
        </w:tc>
        <w:tc>
          <w:tcPr>
            <w:tcW w:type="dxa" w:w="59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Pruebas automáticas verifican que ningún negocio accede a datos de otro, incluyendo mensajes, consentimientos, auditoría y exportaciones.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Alta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SRS-NFR-07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Privacidad</w:t>
            </w:r>
          </w:p>
        </w:tc>
        <w:tc>
          <w:tcPr>
            <w:tcW w:type="dxa" w:w="59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Se almacena solo lo necesario; contenido original cifrado en reposo con la retención [PROPUESTA] de TBD-4; campos normalizados por 12 meses desde el evento; consentimiento de captura y aviso explícito y revocable; exportación/borrado sujetos a permisos y revisión legal. No se afirma cumplimiento de Ley 1581.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Alta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SRS-NFR-08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Abuso</w:t>
            </w:r>
          </w:p>
        </w:tc>
        <w:tc>
          <w:tcPr>
            <w:tcW w:type="dxa" w:w="59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Limitación de tasa en la API y en la recepción de mensajes.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Media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SRS-NFR-09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Mantenibilidad</w:t>
            </w:r>
          </w:p>
        </w:tc>
        <w:tc>
          <w:tcPr>
            <w:tcW w:type="dxa" w:w="59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Cada parser es un módulo independiente con pruebas propias y cobertura mínima de 80 %.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Media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SRS-NFR-10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Usabilidad</w:t>
            </w:r>
          </w:p>
        </w:tc>
        <w:tc>
          <w:tcPr>
            <w:tcW w:type="dxa" w:w="59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El cajero confirma un cobro con máximo 3 interacciones; interfaz en español y usable en pantalla de celular.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Media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SRS-NFR-11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Observabilidad</w:t>
            </w:r>
          </w:p>
        </w:tc>
        <w:tc>
          <w:tcPr>
            <w:tcW w:type="dxa" w:w="59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Logs estructurados sin datos sensibles, identificador de correlación, endpoints de salud, métricas de captura/procesamiento/render, estado de canal, reintentos y avisos de brecha. Las trazas de NFR-01 deben unir adaptador, emisor, evento, procesamiento y render.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Media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SRS-NFR-12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Portabilidad</w:t>
            </w:r>
          </w:p>
        </w:tc>
        <w:tc>
          <w:tcPr>
            <w:tcW w:type="dxa" w:w="59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Despliegue reproducible en contenedores con versiones fijadas según ADR-0001; compatibilidad de stack pendiente de spike (TBD-8).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Alta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SRS-NFR-13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Cumplimiento</w:t>
            </w:r>
          </w:p>
        </w:tc>
        <w:tc>
          <w:tcPr>
            <w:tcW w:type="dxa" w:w="59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Se asume que, al no custodiar ni mover dinero, el servicio queda fuera de la regulación de pagos; validar con asesoría legal antes del piloto [supuesto, TBD-6].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Alta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7.1 Protocolo de medición de NFR-01</w:t>
      </w:r>
    </w:p>
    <w:p>
      <w:pPr>
        <w:pStyle w:val="ListBullet"/>
      </w:pPr>
      <w:r>
        <w:t>Unidad elegible: notificación aceptada por el adaptador con un identificador de correlación y render identificable en la vista del cajero; excluir mensajes rechazados antes de captura y eventos sin ruta observable al render.</w:t>
      </w:r>
    </w:p>
    <w:p>
      <w:pPr>
        <w:pStyle w:val="ListBullet"/>
      </w:pPr>
      <w:r>
        <w:t>Marca inicial: received_at en el adaptador. Marca final: timestamp en que el evento está renderizado/visible en la vista del cajero. No incluye latencia anterior a la captura.</w:t>
      </w:r>
    </w:p>
    <w:p>
      <w:pPr>
        <w:pStyle w:val="ListBullet"/>
      </w:pPr>
      <w:r>
        <w:t>Mantener occurred_at como atributo del evento y reportarlo por separado; no usarlo para alterar la duración.</w:t>
      </w:r>
    </w:p>
    <w:p>
      <w:pPr>
        <w:pStyle w:val="ListBullet"/>
      </w:pPr>
      <w:r>
        <w:t>Muestra mínima propuesta: 200 eventos elegibles distribuidos en 3 sesiones de medición; reportar p50, p95, p99, n, pérdidas, duplicados y exclusiones.</w:t>
      </w:r>
    </w:p>
    <w:p>
      <w:pPr>
        <w:pStyle w:val="ListBullet"/>
      </w:pPr>
      <w:r>
        <w:t>Segmentación mínima: canal/adaptador y emisor; conservar correlación y versión del parser.</w:t>
      </w:r>
    </w:p>
    <w:p>
      <w:pPr>
        <w:pStyle w:val="ListBullet"/>
      </w:pPr>
      <w:r>
        <w:t>Estado de evidencia: protocolo propuesto; no se afirma que se haya ejecutado. Prueba real autorizada de canal y latencia queda pendiente en TBD-1.</w:t>
      </w:r>
    </w:p>
    <w:p>
      <w:pPr>
        <w:pStyle w:val="Heading1"/>
        <w:keepNext w:val="1"/>
      </w:pPr>
      <w:r>
        <w:t>8. Interfaces externas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664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Interfaz</w:t>
            </w:r>
          </w:p>
        </w:tc>
        <w:tc>
          <w:tcPr>
            <w:tcW w:type="dxa" w:w="7200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Descripción</w:t>
            </w:r>
          </w:p>
        </w:tc>
      </w:tr>
      <w:tr>
        <w:trPr>
          <w:cantSplit w:val="true"/>
        </w:trPr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Interfaz de usuario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Aplicación web adaptable a celular para cajero y dueño, en español; muestra estado de canal, cobros, pagos, avisos y exportación según rol.</w:t>
            </w:r>
          </w:p>
        </w:tc>
      </w:tr>
      <w:tr>
        <w:trPr>
          <w:cantSplit w:val="true"/>
        </w:trPr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API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API REST con contrato primero en OpenAPI 3.1; todos los endpoints deben aplicar tenant y correlación.</w:t>
            </w:r>
          </w:p>
        </w:tc>
      </w:tr>
      <w:tr>
        <w:trPr>
          <w:cantSplit w:val="true"/>
        </w:trPr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Tiempo real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Canal de actualización en vivo hacia la pantalla del cajero; tecnología a decidir en ADR.</w:t>
            </w:r>
          </w:p>
        </w:tc>
      </w:tr>
      <w:tr>
        <w:trPr>
          <w:cantSplit w:val="true"/>
        </w:trPr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Adaptador / fuente de notificaciones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Vía de captura pendiente de decisión (TBD-1); requiere consentimiento vigente y no se trata como API bancaria oficial.</w:t>
            </w:r>
          </w:p>
        </w:tc>
      </w:tr>
      <w:tr>
        <w:trPr>
          <w:cantSplit w:val="true"/>
        </w:trPr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Alertas al dueño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TBD-5 cerrado: notificación in-app y correo electrónico; SMS/push fuera del MVP; consentimiento requerido.</w:t>
            </w:r>
          </w:p>
        </w:tc>
      </w:tr>
      <w:tr>
        <w:trPr>
          <w:cantSplit w:val="true"/>
        </w:trPr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Exportación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[PROPUESTA] CSV y JSON estructurados, con filtros y control tenant; únicamente datos propios permitidos.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8.1 Contratos observables de error</w:t>
      </w:r>
    </w:p>
    <w:p>
      <w:pPr/>
      <w:r>
        <w:t>Un error de canal debe devolver un estado técnico distinguible de un pago: canal_degradado, reintento_programado, brecha_potencial o no_reconocido. La UI y los avisos no deben usar “pago recibido” si no existe un evento de pago normalizado y trazable. Los contratos concretos de códigos HTTP, payloads y tecnología de tiempo real quedan para ADR y diseño técnico.</w:t>
      </w:r>
    </w:p>
    <w:p>
      <w:pPr>
        <w:pStyle w:val="Heading1"/>
        <w:keepNext w:val="1"/>
      </w:pPr>
      <w:r>
        <w:t>9. Requisitos de datos (modelo conceptual)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944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Entidad</w:t>
            </w:r>
          </w:p>
        </w:tc>
        <w:tc>
          <w:tcPr>
            <w:tcW w:type="dxa" w:w="4608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Atributos principales</w:t>
            </w:r>
          </w:p>
        </w:tc>
        <w:tc>
          <w:tcPr>
            <w:tcW w:type="dxa" w:w="3312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Notas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Negocio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id, nombre, zona horaria, estado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Unidad de aislamiento (tenant).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Usuario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id, negocio, rol, estado, credencial (hash)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Rol: dueño o cajero.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Consentimiento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id, tenant, titular/actor, alcance, versión del texto, otorgado_en, revocado_en, estado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Captura y aviso distinguibles; auditable y revocable.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Notificación cruda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id, negocio, huella, origen/canal, contenido cifrado, received_at, occurred_at si existe, estado de lectura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Base para reprocesar; cuerpo original sujeto a TBD-4.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Pago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id, negocio, emisor, monto, fecha/hora del evento, occurred_at, received_at, referencia, tipo, notificación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Inmutable (SRS-RN-04).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Cobro esperado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id, negocio, cajero, monto, referencia, creado_en, vence, estado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Estados de SRS-F-23.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Emparejamiento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cobro, pago, método (automático o manual), fecha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Uno a uno.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Evento de auditoría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id, negocio, actor, acción, entidad, fecha, correlación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Solo se agrega, no se edita.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Aviso de brecha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id, negocio, canal, señal, estado, intentos, enviado_in_app_en, enviado_email_en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No representa un pago; requiere consentimiento de aviso.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Exportación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id, negocio, solicitante, formato, filtros, alcance, estado, creada_en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Control tenant y auditoría.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Cierre diario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negocio, fecha, totales por emisor y cajero, diferencias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Calculado en America/Bogota.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9.1 Retención y eliminación — TBD-4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 w:val="true"/>
        </w:trPr>
        <w:tc>
          <w:tcPr>
            <w:tcW w:type="dxa" w:w="10166"/>
            <w:shd w:fill="E2F0D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after="40"/>
            </w:pPr>
            <w:r/>
            <w:r>
              <w:rPr>
                <w:b/>
                <w:color w:val="1F4E79"/>
                <w:sz w:val="20"/>
              </w:rPr>
              <w:t xml:space="preserve">[PROPUESTA] TBD-4: </w:t>
            </w:r>
            <w:r>
              <w:rPr>
                <w:color w:val="1F2937"/>
                <w:sz w:val="20"/>
              </w:rPr>
              <w:t>conservar el cuerpo original cifrado por un máximo de 7 días y solicitar borrado temprano tras parseo exitoso; conservar campos normalizados durante 12 meses desde el evento. Todo queda sujeto a revisión legal; no se afirma cumplimiento.</w:t>
            </w:r>
          </w:p>
        </w:tc>
      </w:tr>
    </w:tbl>
    <w:p>
      <w:pPr>
        <w:spacing w:after="0"/>
      </w:pPr>
    </w:p>
    <w:p>
      <w:pPr/>
      <w:r>
        <w:t>Límite de backups: el borrado de la copia operativa no garantiza purga instantánea de copias de respaldo. Las copias pueden conservarse hasta su rotación técnica y, al restaurarse, deben respetar controles de acceso y evitar reintroducir datos eliminados cuando el diseño lo permita. La ventana exacta de backup no se fija aquí ni se presenta como cumplimiento; queda para el diseño operativo y revisión legal.</w:t>
      </w:r>
    </w:p>
    <w:p>
      <w:pPr>
        <w:pStyle w:val="Heading1"/>
        <w:keepNext w:val="1"/>
      </w:pPr>
      <w:r>
        <w:t>10. Diagrama de estado del cobro</w:t>
      </w:r>
    </w:p>
    <w:p>
      <w:pPr/>
      <w:r>
        <w:t>El siguiente diagrama está incluido como texto Mermaid editable y acompañado de una tabla de transiciones. Puede copiarse a un editor Mermaid o modificarse directamente en el DOCX. Los estados conservan los nombres de SRS-F-23; “Tardío” y “Brecha potencial” son condiciones de observación, no nuevos estados de cobro.</w:t>
      </w:r>
    </w:p>
    <w:p>
      <w:pPr>
        <w:pStyle w:val="CodeBlock"/>
        <w:keepLines/>
      </w:pPr>
      <w:r>
        <w:rPr>
          <w:rFonts w:ascii="Consolas" w:hAnsi="Consolas"/>
          <w:color w:val="1F2937"/>
          <w:sz w:val="16"/>
        </w:rPr>
        <w:t>stateDiagram-v2</w:t>
      </w:r>
      <w:r>
        <w:br/>
      </w:r>
      <w:r>
        <w:rPr>
          <w:rFonts w:ascii="Consolas" w:hAnsi="Consolas"/>
          <w:color w:val="1F2937"/>
          <w:sz w:val="16"/>
        </w:rPr>
        <w:t xml:space="preserve">    [*] --&gt; Pendiente: cajero registra cobro</w:t>
      </w:r>
      <w:r>
        <w:br/>
      </w:r>
      <w:r>
        <w:rPr>
          <w:rFonts w:ascii="Consolas" w:hAnsi="Consolas"/>
          <w:color w:val="1F2937"/>
          <w:sz w:val="16"/>
        </w:rPr>
        <w:t xml:space="preserve">    Pendiente --&gt; Confirmado: pago coincide dentro de RN-03</w:t>
      </w:r>
      <w:r>
        <w:br/>
      </w:r>
      <w:r>
        <w:rPr>
          <w:rFonts w:ascii="Consolas" w:hAnsi="Consolas"/>
          <w:color w:val="1F2937"/>
          <w:sz w:val="16"/>
        </w:rPr>
        <w:t xml:space="preserve">    Pendiente --&gt; Dudoso: monto/referencia no coincide</w:t>
      </w:r>
      <w:r>
        <w:br/>
      </w:r>
      <w:r>
        <w:rPr>
          <w:rFonts w:ascii="Consolas" w:hAnsi="Consolas"/>
          <w:color w:val="1F2937"/>
          <w:sz w:val="16"/>
        </w:rPr>
        <w:t xml:space="preserve">    Pendiente --&gt; Vencido: expira ventana RN-03 sin emparejamiento</w:t>
      </w:r>
      <w:r>
        <w:br/>
      </w:r>
      <w:r>
        <w:rPr>
          <w:rFonts w:ascii="Consolas" w:hAnsi="Consolas"/>
          <w:color w:val="1F2937"/>
          <w:sz w:val="16"/>
        </w:rPr>
        <w:t xml:space="preserve">    Confirmado --&gt; Confirmado: corrección auditada; pago original inmutable</w:t>
      </w:r>
      <w:r>
        <w:br/>
      </w:r>
      <w:r>
        <w:rPr>
          <w:rFonts w:ascii="Consolas" w:hAnsi="Consolas"/>
          <w:color w:val="1F2937"/>
          <w:sz w:val="16"/>
        </w:rPr>
        <w:t xml:space="preserve">    Dudoso --&gt; Confirmado: dueño resuelve manualmente + auditoría</w:t>
      </w:r>
      <w:r>
        <w:br/>
      </w:r>
      <w:r>
        <w:rPr>
          <w:rFonts w:ascii="Consolas" w:hAnsi="Consolas"/>
          <w:color w:val="1F2937"/>
          <w:sz w:val="16"/>
        </w:rPr>
        <w:t xml:space="preserve">    Dudoso --&gt; Vencido: vence sin resolución</w:t>
      </w:r>
      <w:r>
        <w:br/>
      </w:r>
      <w:r>
        <w:rPr>
          <w:rFonts w:ascii="Consolas" w:hAnsi="Consolas"/>
          <w:color w:val="1F2937"/>
          <w:sz w:val="16"/>
        </w:rPr>
        <w:t xml:space="preserve">    Vencido --&gt; Dudoso: llega evento tardío; no auto-confirma</w:t>
      </w:r>
      <w:r>
        <w:br/>
      </w:r>
      <w:r>
        <w:rPr>
          <w:rFonts w:ascii="Consolas" w:hAnsi="Consolas"/>
          <w:color w:val="1F2937"/>
          <w:sz w:val="16"/>
        </w:rPr>
        <w:t xml:space="preserve">    Pendiente --&gt; Pendiente: canal caído/reintento; no crea pago</w:t>
      </w:r>
      <w:r>
        <w:br/>
      </w:r>
      <w:r>
        <w:rPr>
          <w:rFonts w:ascii="Consolas" w:hAnsi="Consolas"/>
          <w:color w:val="1F2937"/>
          <w:sz w:val="16"/>
        </w:rPr>
        <w:t xml:space="preserve">    Pendiente --&gt; Dudoso: señal de evento retrasado o fuera de ventana</w:t>
      </w:r>
      <w:r>
        <w:br/>
      </w:r>
      <w:r>
        <w:rPr>
          <w:rFonts w:ascii="Consolas" w:hAnsi="Consolas"/>
          <w:color w:val="1F2937"/>
          <w:sz w:val="16"/>
        </w:rPr>
        <w:t xml:space="preserve">    note right of Pendiente</w:t>
      </w:r>
      <w:r>
        <w:br/>
      </w:r>
      <w:r>
        <w:rPr>
          <w:rFonts w:ascii="Consolas" w:hAnsi="Consolas"/>
          <w:color w:val="1F2937"/>
          <w:sz w:val="16"/>
        </w:rPr>
        <w:t xml:space="preserve">      occurred_at y received_at se conservan separados.</w:t>
      </w:r>
      <w:r>
        <w:br/>
      </w:r>
      <w:r>
        <w:rPr>
          <w:rFonts w:ascii="Consolas" w:hAnsi="Consolas"/>
          <w:color w:val="1F2937"/>
          <w:sz w:val="16"/>
        </w:rPr>
        <w:t xml:space="preserve">      Una brecha potencial nunca crea un pago.</w:t>
      </w:r>
      <w:r>
        <w:br/>
      </w:r>
      <w:r>
        <w:rPr>
          <w:rFonts w:ascii="Consolas" w:hAnsi="Consolas"/>
          <w:color w:val="1F2937"/>
          <w:sz w:val="16"/>
        </w:rPr>
        <w:t xml:space="preserve">    end note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 w:val="true"/>
        </w:trPr>
        <w:tc>
          <w:tcPr>
            <w:tcW w:type="dxa" w:w="792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800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Transición</w:t>
            </w:r>
          </w:p>
        </w:tc>
        <w:tc>
          <w:tcPr>
            <w:tcW w:type="dxa" w:w="4320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Condición / efecto</w:t>
            </w:r>
          </w:p>
        </w:tc>
        <w:tc>
          <w:tcPr>
            <w:tcW w:type="dxa" w:w="1944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Trazas</w:t>
            </w:r>
          </w:p>
        </w:tc>
        <w:tc>
          <w:tcPr>
            <w:tcW w:type="dxa" w:w="792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Método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T-01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[*] → Pendiente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El cajero registra un cobro esperado.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SRS-F-21, SRS-F-23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I/T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T-02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Pendiente → Confirmado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Llega un pago con monto/referencia compatibles dentro de la ventana provisional de 10 min.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SRS-F-22, SRS-RN-02, SRS-RN-03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T-03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Pendiente → Dudoso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Monto o referencia no coincide, o el evento queda fuera de ventana.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SRS-F-24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T-04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Pendiente → Vencido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La ventana expira sin pago emparejado.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SRS-F-23, SRS-RN-03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T-05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Dudoso → Confirmado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El dueño resuelve manualmente; se agrega auditoría y no se modifica el pago original.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SRS-F-25, SRS-RN-04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T-06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Vencido → Dudoso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Llega evento tardío; se conserva occurred_at/received_at y no se confirma automáticamente.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SRS-F-24, SRS-F-30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T-07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Cualquier estado operativo → reintento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Canal/componente caído; backoff, correlación, huella e idempotencia. No se crea pago.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SRS-NFR-04, SRS-F-15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T-08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Brecha potencial → aviso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Señal observable de pérdida o retraso; in-app/correo con consentimiento. No prueba un pago.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SRS-F-15, SRS-F-40, SRS-NFR-07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T/I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11. Trazabilidad y verificación</w:t>
      </w:r>
    </w:p>
    <w:p>
      <w:pPr/>
      <w:r>
        <w:t>La matriz conserva las trazas heredadas de PRD v0.3 y se reconcilia con PRD CNF-PRD-001 v0.4. Los identificadores abreviados F-xx de la matriz se refieren a los identificadores completos SRS-F-xx de las secciones funcionales; no se renumeran. Métodos: T = prueba automatizada o de integración; I = inspección; A = análisis; D = demostración.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944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PRD</w:t>
            </w:r>
          </w:p>
        </w:tc>
        <w:tc>
          <w:tcPr>
            <w:tcW w:type="dxa" w:w="4536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Requisitos SRS</w:t>
            </w:r>
          </w:p>
        </w:tc>
        <w:tc>
          <w:tcPr>
            <w:tcW w:type="dxa" w:w="3384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Método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RF-01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SRS-F-10, F-11, F-12, F-14</w:t>
            </w:r>
          </w:p>
        </w:tc>
        <w:tc>
          <w:tcPr>
            <w:tcW w:type="dxa" w:w="3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 (parsers con muestras reales), T (integración)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RF-02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SRS-F-13, SRS-NFR-04</w:t>
            </w:r>
          </w:p>
        </w:tc>
        <w:tc>
          <w:tcPr>
            <w:tcW w:type="dxa" w:w="3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 (reintentos y duplicados)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RF-03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SRS-F-20, F-23</w:t>
            </w:r>
          </w:p>
        </w:tc>
        <w:tc>
          <w:tcPr>
            <w:tcW w:type="dxa" w:w="3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 (extremo a extremo)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RF-04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SRS-F-21, F-22</w:t>
            </w:r>
          </w:p>
        </w:tc>
        <w:tc>
          <w:tcPr>
            <w:tcW w:type="dxa" w:w="3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 (integración)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RF-05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SRS-F-30, F-31</w:t>
            </w:r>
          </w:p>
        </w:tc>
        <w:tc>
          <w:tcPr>
            <w:tcW w:type="dxa" w:w="3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 (integración), I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RF-06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SRS-F-05, SRS-NFR-06</w:t>
            </w:r>
          </w:p>
        </w:tc>
        <w:tc>
          <w:tcPr>
            <w:tcW w:type="dxa" w:w="3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 (aislamiento)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RF-07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SRS-F-03, F-04</w:t>
            </w:r>
          </w:p>
        </w:tc>
        <w:tc>
          <w:tcPr>
            <w:tcW w:type="dxa" w:w="3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 (extremo a extremo)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RF-08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SRS-F-24, F-25</w:t>
            </w:r>
          </w:p>
        </w:tc>
        <w:tc>
          <w:tcPr>
            <w:tcW w:type="dxa" w:w="3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 (integración)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PRD §7.1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SRS-F-01, SRS-F-02 (requisitos derivados; sin RF propio)</w:t>
            </w:r>
          </w:p>
        </w:tc>
        <w:tc>
          <w:tcPr>
            <w:tcW w:type="dxa" w:w="3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 (revisión de alcance), T (registro y autenticación)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RK2, RK3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SRS-F-14, SRS-F-15 (derivados)</w:t>
            </w:r>
          </w:p>
        </w:tc>
        <w:tc>
          <w:tcPr>
            <w:tcW w:type="dxa" w:w="3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 (no reconocido/estado de captura)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RNF-01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SRS-NFR-06</w:t>
            </w:r>
          </w:p>
        </w:tc>
        <w:tc>
          <w:tcPr>
            <w:tcW w:type="dxa" w:w="3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RNF-02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SRS-NFR-07, SRS-F-41</w:t>
            </w:r>
          </w:p>
        </w:tc>
        <w:tc>
          <w:tcPr>
            <w:tcW w:type="dxa" w:w="3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 (revisión de diseño), T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RNF-03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SRS-NFR-04</w:t>
            </w:r>
          </w:p>
        </w:tc>
        <w:tc>
          <w:tcPr>
            <w:tcW w:type="dxa" w:w="3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 (fallos simulados)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RNF-04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SRS-F-40</w:t>
            </w:r>
          </w:p>
        </w:tc>
        <w:tc>
          <w:tcPr>
            <w:tcW w:type="dxa" w:w="3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 (integración)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Métricas del PRD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SRS-NFR-01, NFR-02</w:t>
            </w:r>
          </w:p>
        </w:tc>
        <w:tc>
          <w:tcPr>
            <w:tcW w:type="dxa" w:w="3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 (pruebas de carga), D (piloto)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11.1 Trazabilidad adicional v0.4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376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Tema v0.4</w:t>
            </w:r>
          </w:p>
        </w:tc>
        <w:tc>
          <w:tcPr>
            <w:tcW w:type="dxa" w:w="3312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Requisitos</w:t>
            </w:r>
          </w:p>
        </w:tc>
        <w:tc>
          <w:tcPr>
            <w:tcW w:type="dxa" w:w="4176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Verificación propuesta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Fallas de canal / no inventar pagos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SRS-F-10, SRS-F-15, SRS-NFR-04, SRS-NFR-11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 con adaptador simulado y fallos controlados; I de estados y avisos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Evento retrasado/perdido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SRS-F-12, SRS-F-24, SRS-F-30, SRS-RN-03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 con occurred_at/received_at; I de que no se crea pago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Consentimiento revocable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SRS-F-10, SRS-F-40, SRS-NFR-07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 de otorgar/revocar; I de texto, alcance y auditoría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Exportación y tenant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SRS-F-05, SRS-F-32, SRS-F-41, SRS-NFR-06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 de permisos, filtros, contenido y aislamiento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Latencia NFR-01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SRS-NFR-01, SRS-NFR-11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A/T con trazas correlacionadas; muestra propuesta 200 eventos/3 sesiones; evidencia real pendiente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11.2 Evidencia y estado de verificación</w:t>
      </w:r>
    </w:p>
    <w:p>
      <w:pPr/>
      <w:r>
        <w:t>Este SRS define métodos y criterios, pero no registra resultados de pruebas reales. La vertical slice Python solo es una especificación ejecutable; no debe presentarse como producción ni como evidencia de compatibilidad Node/TypeScript/NestJS. Cualquier resultado futuro debe adjuntar versión del adaptador/parser, fixtures autorizados, correlaciones, timestamps, tenant de prueba y autorización de uso.</w:t>
      </w:r>
    </w:p>
    <w:p>
      <w:pPr>
        <w:pStyle w:val="Heading1"/>
        <w:keepNext w:val="1"/>
      </w:pPr>
      <w:r>
        <w:t>12. Pendientes y decisiones abiertas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080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3240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Pendiente</w:t>
            </w:r>
          </w:p>
        </w:tc>
        <w:tc>
          <w:tcPr>
            <w:tcW w:type="dxa" w:w="5544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 / decisión v0.4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TBD-1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Vía de captura de notificaciones.</w:t>
            </w:r>
          </w:p>
        </w:tc>
        <w:tc>
          <w:tcPr>
            <w:tcW w:type="dxa" w:w="55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No se puede cerrar sin prueba real autorizada de latencia y canal; sigue pendiente de ADR. La medición real de NFR-01 no se afirma.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TBD-2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Emisores incluidos en el MVP.</w:t>
            </w:r>
          </w:p>
        </w:tc>
        <w:tc>
          <w:tcPr>
            <w:tcW w:type="dxa" w:w="55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Abierto hasta disponer de muestras reales autorizadas de emisores. No se crean cuentas ni se afirma que se hayan producido con cuentas del agente; S-0.1 no es evidencia de preferencias.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TBD-3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Valor y configurabilidad de la ventana de emparejamiento.</w:t>
            </w:r>
          </w:p>
        </w:tc>
        <w:tc>
          <w:tcPr>
            <w:tcW w:type="dxa" w:w="55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10 minutos es ventana provisional [PROPUESTA/HIP], pendiente de observar un flujo real de cobro.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TBD-4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Política de retención y eliminación de datos.</w:t>
            </w:r>
          </w:p>
        </w:tc>
        <w:tc>
          <w:tcPr>
            <w:tcW w:type="dxa" w:w="55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[PROPUESTA concreta] cuerpo original cifrado, máximo 7 días, borrado temprano tras parseo exitoso; campos normalizados 12 meses desde el evento; sujeto a revisión legal, sin afirmar cumplimiento. El límite de backups se explica en §9.1.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TBD-5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Canal de alertas al dueño.</w:t>
            </w:r>
          </w:p>
        </w:tc>
        <w:tc>
          <w:tcPr>
            <w:tcW w:type="dxa" w:w="55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Cerrado por decisión de producto v0.4: notificación in-app y correo electrónico; SMS y push fuera del MVP. Requiere consentimiento de aviso.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TBD-6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Validación legal del supuesto SRS-NFR-13.</w:t>
            </w:r>
          </w:p>
        </w:tc>
        <w:tc>
          <w:tcPr>
            <w:tcW w:type="dxa" w:w="55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Asesoría legal pendiente antes del piloto; este documento no afirma cumplimiento ni exclusión regulatoria.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TBD-7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Validación real de segmento, problema y alcance del MVP.</w:t>
            </w:r>
          </w:p>
        </w:tc>
        <w:tc>
          <w:tcPr>
            <w:tcW w:type="dxa" w:w="55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Investigación real pendiente; no bloquea el prototipo, pero sí baselinar el MVP/piloto y aprobar alcance.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TBD-8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Compatibilidad Node/TypeScript/NestJS y dependencias para ADR-0001.</w:t>
            </w:r>
          </w:p>
        </w:tc>
        <w:tc>
          <w:tcPr>
            <w:tcW w:type="dxa" w:w="55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Spike no ejecutado; resultado esperado: ADR-0001 con versiones, dependencias, toolchain y CI. ST-01 no cubre esta compatibilidad.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TBD-9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Port de la vertical slice Python al stack objetivo.</w:t>
            </w:r>
          </w:p>
        </w:tc>
        <w:tc>
          <w:tcPr>
            <w:tcW w:type="dxa" w:w="55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Pendiente: traducir contrato, reglas y pruebas a TypeScript/NestJS, manteniendo fixtures sintéticos; Python no es backend de producción.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 w:val="true"/>
        </w:trPr>
        <w:tc>
          <w:tcPr>
            <w:tcW w:type="dxa" w:w="10166"/>
            <w:shd w:fill="FFF2CC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after="40"/>
            </w:pPr>
            <w:r/>
            <w:r>
              <w:rPr>
                <w:b/>
                <w:color w:val="1F4E79"/>
                <w:sz w:val="20"/>
              </w:rPr>
              <w:t xml:space="preserve">DECISIÓN DE ALCANCE: </w:t>
            </w:r>
            <w:r>
              <w:rPr>
                <w:color w:val="1F2937"/>
                <w:sz w:val="20"/>
              </w:rPr>
              <w:t>el prototipo Python es solo una especificación ejecutable para clarificar contrato y reglas; no es una implementación de producción. No se considera cerrado ningún TBD por el solo hecho de describirlo.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13. Notas de control de cambios</w:t>
      </w:r>
    </w:p>
    <w:p>
      <w:pPr/>
      <w:r>
        <w:t>La migración de nombre visible a Chulito no modifica los identificadores SRS ni el código histórico CNF-SRS-001. Las repeticiones del texto de S-0.1 son intencionales: aparecen en portada, encabezado de cada página, control y estado del contenido. Las marcas [PROPUESTA] se mantienen para separar decisiones autorizadas de opciones aún sujetas a revisión.</w:t>
      </w:r>
    </w:p>
    <w:p>
      <w:pPr>
        <w:pStyle w:val="Heading2"/>
        <w:keepNext w:val="1"/>
      </w:pPr>
      <w:r>
        <w:t>13.1 Checklist de entrega</w:t>
      </w:r>
    </w:p>
    <w:p>
      <w:pPr>
        <w:pStyle w:val="ListBullet"/>
      </w:pPr>
      <w:r>
        <w:t>Versión visible: 0.4; fecha: 17-oct-2026; origen: PRD CNF-PRD-001 v0.4.</w:t>
      </w:r>
    </w:p>
    <w:p>
      <w:pPr>
        <w:pStyle w:val="ListBullet"/>
      </w:pPr>
      <w:r>
        <w:t>Nombre visible Chulito y código CNF-SRS-001 conservados; glosario explica CNF como prefijo histórico.</w:t>
      </w:r>
    </w:p>
    <w:p>
      <w:pPr>
        <w:pStyle w:val="ListBullet"/>
      </w:pPr>
      <w:r>
        <w:t>IDs preexistentes SRS-F-01..05, SRS-F-10..15, SRS-F-20..25, SRS-F-30..32, SRS-F-40..41, SRS-NFR-01..13 y SRS-RN-01..06 conservados sin renumeración.</w:t>
      </w:r>
    </w:p>
    <w:p>
      <w:pPr>
        <w:pStyle w:val="ListBullet"/>
      </w:pPr>
      <w:r>
        <w:t>Cláusula literal S-0.1 en portada y encabezado; trazabilidad PRD RF conservada.</w:t>
      </w:r>
    </w:p>
    <w:p>
      <w:pPr>
        <w:pStyle w:val="ListBullet"/>
      </w:pPr>
      <w:r>
        <w:t>Historias de usuario, casos de uso, criterios de aceptación, diagrama editable y tabla de transiciones incluidos.</w:t>
      </w:r>
    </w:p>
    <w:p>
      <w:pPr>
        <w:pStyle w:val="ListBullet"/>
      </w:pPr>
      <w:r>
        <w:t>Canal caído, evento retrasado/perdido, recuperación/reintentos y aviso de brecha sin inventar pagos especificados.</w:t>
      </w:r>
    </w:p>
    <w:p>
      <w:pPr>
        <w:pStyle w:val="ListBullet"/>
      </w:pPr>
      <w:r>
        <w:t>Consentimiento explícito/revocable, exportación estructurada con control tenant y límites de retención/backups especificados.</w:t>
      </w:r>
    </w:p>
    <w:p>
      <w:pPr>
        <w:pStyle w:val="ListBullet"/>
      </w:pPr>
      <w:r>
        <w:t>No se registran pruebas reales, cuentas creadas, aprobaciones ni cumplimiento legal como hechos.</w:t>
      </w:r>
    </w:p>
    <w:p>
      <w:pPr>
        <w:pStyle w:val="Heading2"/>
        <w:keepNext w:val="1"/>
      </w:pPr>
      <w:r>
        <w:t>13.2 Cierre de la actualización</w:t>
      </w:r>
    </w:p>
    <w:p>
      <w:pPr/>
      <w:r>
        <w:t>La v0.4 deja el SRS listo como especificación editable para revisión de producto y arquitectura, no como evidencia de piloto. Las decisiones explícitas —nombre visible, canales in-app/correo para avisos y límites de MVP— se separan de las propuestas y de los TBD que requieren evidencia o asesoría.</w:t>
      </w:r>
    </w:p>
    <w:p>
      <w:pPr/>
      <w:r>
        <w:t>Antes de baselinar un MVP o un piloto deben resolverse, con la autorización correspondiente, la vía de captura (TBD-1), emisores y muestras reales (TBD-2), la ventana de emparejamiento (TBD-3), la retención legal (TBD-4), la asesoría legal (TBD-6), la investigación del segmento (TBD-7), el spike de compatibilidad (TBD-8) y el port a TypeScript/NestJS (TBD-9).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880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 final</w:t>
            </w:r>
          </w:p>
        </w:tc>
        <w:tc>
          <w:tcPr>
            <w:tcW w:type="dxa" w:w="6984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 en v0.4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Contenido y trazabilidad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IDs SRS heredados y matriz PRD RF conservados; ampliaciones marcadas.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Evidencia de usuario y emisores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Pendiente; S-0.1 es simulado y no se declaran entrevistas, cuentas ni pagos.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Pruebas de latencia y canal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Protocolo propuesto; 200 eventos en 3 sesiones; ejecución real autorizada pendiente.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Legal, retención y backups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Propuesta documentada; revisión legal pendiente; límites de backup no presentados como cumplimiento.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 w:val="true"/>
        </w:trPr>
        <w:tc>
          <w:tcPr>
            <w:tcW w:type="dxa" w:w="10166"/>
            <w:shd w:fill="EAF2F8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after="40"/>
            </w:pPr>
            <w:r/>
            <w:r>
              <w:rPr>
                <w:b/>
                <w:color w:val="1F4E79"/>
                <w:sz w:val="20"/>
              </w:rPr>
              <w:t xml:space="preserve">LÍMITE DE INTERPRETACIÓN: </w:t>
            </w:r>
            <w:r>
              <w:rPr>
                <w:color w:val="1F2937"/>
                <w:sz w:val="20"/>
              </w:rPr>
              <w:t>la presencia de un requisito, escenario o método de verificación no significa que haya sido aprobado, implementado o ejecutado. El estado de cada pendiente debe actualizarse en una revisión posterior.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037" w:bottom="1008" w:left="1037" w:header="403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ptos" w:hAnsi="Aptos"/>
        <w:color w:val="5B6B7A"/>
        <w:sz w:val="16"/>
      </w:rPr>
      <w:t xml:space="preserve">Chulito  ·  CNF-SRS-001  |  Página </w:t>
    </w:r>
    <w:r>
      <w:rPr>
        <w:sz w:val="16"/>
      </w:rPr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Aptos" w:hAnsi="Aptos"/>
        <w:b/>
        <w:color w:val="9C0006"/>
        <w:sz w:val="15"/>
      </w:rPr>
      <w:t>S-0.1 es un escenario simulado, no resultados de entrevistas realizadas.</w:t>
    </w:r>
  </w:p>
  <w:p>
    <w:pPr>
      <w:spacing w:after="0"/>
      <w:jc w:val="center"/>
      <w:pBdr>
        <w:bottom w:val="single" w:sz="6" w:color="1F4E79"/>
      </w:pBdr>
    </w:pPr>
    <w:r>
      <w:rPr>
        <w:rFonts w:ascii="Aptos" w:hAnsi="Aptos"/>
        <w:color w:val="5B6B7A"/>
        <w:sz w:val="15"/>
      </w:rPr>
      <w:t>Chulito  ·  CNF-SRS-001  ·  SRS v0.4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ptos" w:hAnsi="Aptos"/>
      <w:b/>
      <w:i/>
      <w:iCs/>
      <w:color w:val="5B6B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59" w:right="173"/>
    </w:pPr>
    <w:rPr>
      <w:rFonts w:ascii="Consolas" w:hAnsi="Consolas"/>
      <w:color w:val="1F293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Chulito — Especificación de requisitos de software (SRS)</dc:title>
  <dc:subject>SRS v0.4; CNF-SRS-001; PRD CNF-PRD-001 v0.4</dc:subject>
  <dc:creator>Edwin Carabalí</dc:creator>
  <cp:keywords/>
  <dc:description>Nombre visible Chulito; CNF es prefijo histórico. S-0.1 es un escenario simulado, no resultados de entrevistas realizadas.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