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4" w:lineRule="auto"/>
        <w:jc w:val="center"/>
      </w:pPr>
      <w:r>
        <w:rPr>
          <w:rFonts w:ascii="Liberation Sans" w:hAnsi="Liberation Sans"/>
          <w:b/>
          <w:i w:val="0"/>
          <w:color w:val="143D56"/>
          <w:sz w:val="58"/>
        </w:rPr>
        <w:t>CHULITO</w:t>
      </w:r>
    </w:p>
    <w:p>
      <w:pPr>
        <w:spacing w:before="0" w:after="60" w:line="254" w:lineRule="auto"/>
        <w:jc w:val="center"/>
      </w:pPr>
      <w:r>
        <w:rPr>
          <w:rFonts w:ascii="Liberation Sans" w:hAnsi="Liberation Sans"/>
          <w:b w:val="0"/>
          <w:i/>
          <w:color w:val="5B6570"/>
          <w:sz w:val="22"/>
        </w:rPr>
        <w:t>(antes Confirma)</w:t>
      </w:r>
    </w:p>
    <w:p>
      <w:pPr>
        <w:spacing w:before="0" w:after="100" w:line="254" w:lineRule="auto"/>
        <w:jc w:val="center"/>
      </w:pPr>
      <w:r>
        <w:rPr>
          <w:rFonts w:ascii="Liberation Sans" w:hAnsi="Liberation Sans"/>
          <w:b/>
          <w:i w:val="0"/>
          <w:color w:val="2F6F8F"/>
          <w:sz w:val="38"/>
        </w:rPr>
        <w:t>Síntesis documental y supuestos de trabajo</w:t>
      </w:r>
    </w:p>
    <w:p>
      <w:pPr>
        <w:spacing w:before="0" w:after="300" w:line="254" w:lineRule="auto"/>
        <w:jc w:val="center"/>
      </w:pPr>
      <w:r>
        <w:rPr>
          <w:rFonts w:ascii="Liberation Sans" w:hAnsi="Liberation Sans"/>
          <w:b w:val="0"/>
          <w:i w:val="0"/>
          <w:color w:val="5B6570"/>
          <w:sz w:val="22"/>
        </w:rPr>
        <w:t>SD-0.4 · Fase 0 · Consolidación documental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143D56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9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143D56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Valor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Código</w:t>
            </w:r>
          </w:p>
        </w:tc>
        <w:tc>
          <w:tcPr>
            <w:tcW w:type="dxa" w:w="79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CNF-SD-001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Versión</w:t>
            </w:r>
          </w:p>
        </w:tc>
        <w:tc>
          <w:tcPr>
            <w:tcW w:type="dxa" w:w="79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SD-0.4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Fecha</w:t>
            </w:r>
          </w:p>
        </w:tc>
        <w:tc>
          <w:tcPr>
            <w:tcW w:type="dxa" w:w="79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17 de octubre de 2026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Proyecto</w:t>
            </w:r>
          </w:p>
        </w:tc>
        <w:tc>
          <w:tcPr>
            <w:tcW w:type="dxa" w:w="79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Chulito (antes Confirma)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Estado</w:t>
            </w:r>
          </w:p>
        </w:tc>
        <w:tc>
          <w:tcPr>
            <w:tcW w:type="dxa" w:w="79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r>
              <w:t>Borrador integrado; pendiente de revisión y aprobación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Fuentes base</w:t>
            </w:r>
          </w:p>
        </w:tc>
        <w:tc>
          <w:tcPr>
            <w:tcW w:type="dxa" w:w="79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r>
              <w:t>PRD/SRS CNF-PRD-001/CNF-SRS-001 v0.4 (borradores); guía v0.2; informe S-0.1 (simulado); ST-01 v0.3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Uso</w:t>
            </w:r>
          </w:p>
        </w:tc>
        <w:tc>
          <w:tcPr>
            <w:tcW w:type="dxa" w:w="79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Interno · síntesis de trabajo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1F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F6F8F"/>
              <w:left w:val="single" w:sz="8" w:color="2F6F8F"/>
              <w:bottom w:val="single" w:sz="8" w:color="2F6F8F"/>
              <w:right w:val="single" w:sz="8" w:color="2F6F8F"/>
            </w:tcBorders>
          </w:tcPr>
          <w:p>
            <w:pPr>
              <w:spacing w:after="40" w:line="247" w:lineRule="auto"/>
            </w:pPr>
            <w:r/>
            <w:r>
              <w:rPr>
                <w:rFonts w:ascii="Liberation Sans" w:hAnsi="Liberation Sans"/>
                <w:b/>
                <w:color w:val="8B1E2D"/>
                <w:sz w:val="18"/>
              </w:rPr>
              <w:t>ADVERTENCIA DE EVIDENCIA</w:t>
            </w:r>
          </w:p>
          <w:p>
            <w:pPr>
              <w:spacing w:after="0" w:line="247" w:lineRule="auto"/>
            </w:pPr>
            <w:r>
              <w:rPr>
                <w:rFonts w:ascii="Liberation Sans" w:hAnsi="Liberation Sans"/>
                <w:color w:val="26343D"/>
                <w:sz w:val="18"/>
              </w:rPr>
              <w:t>S-0.1 es un escenario simulado, no resultados de entrevistas realizadas. Sus cifras y perfiles son ficticios; no representan participantes reales ni evidencia de mercado.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0F7F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F6F8F"/>
              <w:left w:val="single" w:sz="8" w:color="2F6F8F"/>
              <w:bottom w:val="single" w:sz="8" w:color="2F6F8F"/>
              <w:right w:val="single" w:sz="8" w:color="2F6F8F"/>
            </w:tcBorders>
          </w:tcPr>
          <w:p>
            <w:pPr>
              <w:spacing w:after="40" w:line="247" w:lineRule="auto"/>
            </w:pPr>
            <w:r/>
            <w:r>
              <w:rPr>
                <w:rFonts w:ascii="Liberation Sans" w:hAnsi="Liberation Sans"/>
                <w:b/>
                <w:color w:val="25613A"/>
                <w:sz w:val="18"/>
              </w:rPr>
              <w:t>LÍMITE DE DECISIÓN</w:t>
            </w:r>
          </w:p>
          <w:p>
            <w:pPr>
              <w:spacing w:after="0" w:line="247" w:lineRule="auto"/>
            </w:pPr>
            <w:r>
              <w:rPr>
                <w:rFonts w:ascii="Liberation Sans" w:hAnsi="Liberation Sans"/>
                <w:color w:val="26343D"/>
                <w:sz w:val="18"/>
              </w:rPr>
              <w:t>El prototipo sintético puede avanzar. La validación real de segmento, problema, posicionamiento y alcance es obligatoria antes de baselinar el producto o iniciar un piloto.</w:t>
            </w:r>
          </w:p>
        </w:tc>
      </w:tr>
    </w:tbl>
    <w:p>
      <w:pPr>
        <w:spacing w:after="0"/>
      </w:pPr>
    </w:p>
    <w:p>
      <w:pPr>
        <w:spacing w:before="0" w:after="280" w:line="254" w:lineRule="auto"/>
        <w:jc w:val="center"/>
      </w:pPr>
      <w:r>
        <w:rPr>
          <w:rFonts w:ascii="Liberation Sans" w:hAnsi="Liberation Sans"/>
          <w:b w:val="0"/>
          <w:i/>
          <w:color w:val="5B6570"/>
          <w:sz w:val="17"/>
        </w:rPr>
        <w:t>CNF es un prefijo histórico: se conserva para preservar la identidad documental y la trazabilidad heredada de Confirma; el nombre visible actual del proyecto es Chulito.</w:t>
      </w:r>
    </w:p>
    <w:p>
      <w:pPr>
        <w:spacing w:before="0" w:after="0" w:line="254" w:lineRule="auto"/>
        <w:jc w:val="center"/>
      </w:pPr>
      <w:r>
        <w:rPr>
          <w:rFonts w:ascii="Liberation Sans" w:hAnsi="Liberation Sans"/>
          <w:b w:val="0"/>
          <w:i w:val="0"/>
          <w:color w:val="143D56"/>
          <w:sz w:val="18"/>
        </w:rPr>
        <w:t>Documento editable fuente · PDF a juego</w:t>
      </w:r>
    </w:p>
    <w:p>
      <w:pPr>
        <w:spacing w:after="0"/>
      </w:pPr>
      <w:r>
        <w:br w:type="page"/>
      </w:r>
    </w:p>
    <w:p>
      <w:pPr>
        <w:keepNext/>
        <w:spacing w:before="0" w:after="100"/>
      </w:pPr>
      <w:r>
        <w:rPr>
          <w:rFonts w:ascii="Liberation Sans" w:hAnsi="Liberation Sans"/>
          <w:b/>
          <w:color w:val="143D56"/>
          <w:sz w:val="30"/>
        </w:rPr>
        <w:t>Resumen ejecutivo</w:t>
      </w:r>
    </w:p>
    <w:p>
      <w:pPr>
        <w:spacing w:before="0" w:after="60" w:line="254" w:lineRule="auto"/>
      </w:pPr>
      <w:r>
        <w:t>Esta SD-0.4 actualiza la síntesis de SD-0.3 para Chulito (antes Confirma), conserva sus hechos y limitaciones, incorpora el Registro de Evidencia de Alternativas consultado el 17 de octubre de 2026 y reconcilia la trazabilidad con los borradores PRD/SRS v0.4. S-0.1 sigue siendo sintético: sus 16 registros, proporciones y perfiles no son entrevistas, no estiman el mercado y no fijan una prioridad de segmento.</w:t>
      </w:r>
    </w:p>
    <w:p>
      <w:pPr>
        <w:spacing w:before="0" w:after="60" w:line="254" w:lineRule="auto"/>
      </w:pPr>
      <w:r>
        <w:rPr>
          <w:rFonts w:ascii="Liberation Sans" w:hAnsi="Liberation Sans"/>
          <w:b w:val="0"/>
          <w:i w:val="0"/>
          <w:sz w:val="18"/>
        </w:rPr>
        <w:t>La hipótesis de trabajo que puede explorarse es un negocio pequeño con empleados y varios emisores que necesita una vista compartida de confirmaciones auténticas, sin exponer credenciales financieras del titular, y un libro diario multiemisor. Posicionamiento, segmento y alcance permanecen hipótesis; no se infiere prioridad desde el ficticio n=16. El desarrollo técnico con eventos y fixtures sintéticos puede continuar en paralelo, pero entrevistas reales, muestras autorizadas, retención, privacidad y revisión legal preceden cualquier baselining o piloto.</w:t>
      </w:r>
    </w:p>
    <w:p>
      <w:pPr>
        <w:keepNext/>
        <w:spacing w:before="80" w:after="40"/>
      </w:pPr>
      <w:r>
        <w:rPr>
          <w:rFonts w:ascii="Liberation Sans" w:hAnsi="Liberation Sans"/>
          <w:b/>
          <w:color w:val="2F6F8F"/>
          <w:sz w:val="22"/>
        </w:rPr>
        <w:t>Lectura de estado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33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143D56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Se puede afirmar</w:t>
            </w:r>
          </w:p>
        </w:tc>
        <w:tc>
          <w:tcPr>
            <w:tcW w:type="dxa" w:w="33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143D56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No se puede afirmar</w:t>
            </w:r>
          </w:p>
        </w:tc>
        <w:tc>
          <w:tcPr>
            <w:tcW w:type="dxa" w:w="34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143D56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Puerta siguiente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SD-0.3 documenta hipótesis, requisitos candidatos, riesgos y un plan técnico sintético.</w:t>
            </w:r>
          </w:p>
        </w:tc>
        <w:tc>
          <w:tcPr>
            <w:tcW w:type="dxa" w:w="33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Que S-0.1 haya observado usuarios, preferencias o prioridad.</w:t>
            </w:r>
          </w:p>
        </w:tc>
        <w:tc>
          <w:tcPr>
            <w:tcW w:type="dxa" w:w="34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Registrar evidencia de campo y revisar PRD/SRS v0.4.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Las páginas consultadas muestran solapamientos y límites observables; no un mapa exhaustivo.</w:t>
            </w:r>
          </w:p>
        </w:tc>
        <w:tc>
          <w:tcPr>
            <w:tcW w:type="dxa" w:w="33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Que una ausencia en una página pruebe que el proveedor carece de una función.</w:t>
            </w:r>
          </w:p>
        </w:tc>
        <w:tc>
          <w:tcPr>
            <w:tcW w:type="dxa" w:w="34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Usar la comparación solo como insumo de hipótesis y ADR.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La vertical slice puede probar idempotencia, roles, emparejamiento, libro y auditoría con datos sintéticos.</w:t>
            </w:r>
          </w:p>
        </w:tc>
        <w:tc>
          <w:tcPr>
            <w:tcW w:type="dxa" w:w="33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Que el prototipo valide demanda, segmento, legalidad o cobertura real.</w:t>
            </w:r>
          </w:p>
        </w:tc>
        <w:tc>
          <w:tcPr>
            <w:tcW w:type="dxa" w:w="34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No integrar datos reales hasta cerrar TBD-1, TBD-2, TBD-4 y TBD-6.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F6F8F"/>
              <w:left w:val="single" w:sz="8" w:color="2F6F8F"/>
              <w:bottom w:val="single" w:sz="8" w:color="2F6F8F"/>
              <w:right w:val="single" w:sz="8" w:color="2F6F8F"/>
            </w:tcBorders>
          </w:tcPr>
          <w:p>
            <w:pPr>
              <w:spacing w:after="40" w:line="247" w:lineRule="auto"/>
            </w:pPr>
            <w:r/>
            <w:r>
              <w:rPr>
                <w:rFonts w:ascii="Liberation Sans" w:hAnsi="Liberation Sans"/>
                <w:b/>
                <w:color w:val="143D56"/>
                <w:sz w:val="18"/>
              </w:rPr>
              <w:t>CRITERIO DE INTERPRETACIÓN</w:t>
            </w:r>
          </w:p>
          <w:p>
            <w:pPr>
              <w:spacing w:after="0" w:line="247" w:lineRule="auto"/>
            </w:pPr>
            <w:r>
              <w:rPr>
                <w:rFonts w:ascii="Liberation Sans" w:hAnsi="Liberation Sans"/>
                <w:color w:val="26343D"/>
                <w:sz w:val="18"/>
              </w:rPr>
              <w:t>“Hipótesis de trabajo” es una proposición explícita y provisional para orientar experimentos y preguntas. No equivale a evidencia de usuario, compromiso de producto ni resultado de mercado.</w:t>
            </w:r>
          </w:p>
        </w:tc>
      </w:tr>
    </w:tbl>
    <w:p>
      <w:pPr>
        <w:spacing w:after="0"/>
      </w:pPr>
    </w:p>
    <w:p>
      <w:pPr>
        <w:keepNext/>
        <w:spacing w:before="80" w:after="40"/>
      </w:pPr>
      <w:r>
        <w:rPr>
          <w:rFonts w:ascii="Liberation Sans" w:hAnsi="Liberation Sans"/>
          <w:b/>
          <w:color w:val="2F6F8F"/>
          <w:sz w:val="22"/>
        </w:rPr>
        <w:t>Cambio central de SD-0.4</w:t>
      </w:r>
    </w:p>
    <w:p>
      <w:pPr>
        <w:pStyle w:val="ListBullet"/>
        <w:spacing w:before="0" w:after="22" w:line="240" w:lineRule="auto"/>
        <w:ind w:left="259"/>
      </w:pPr>
      <w:r>
        <w:rPr>
          <w:rFonts w:ascii="Liberation Sans" w:hAnsi="Liberation Sans"/>
          <w:sz w:val="18"/>
        </w:rPr>
        <w:t>Nombre visible actualizado a Chulito (antes Confirma), preservando CNF-SD-001 como identificador histórico.</w:t>
      </w:r>
    </w:p>
    <w:p>
      <w:pPr>
        <w:pStyle w:val="ListBullet"/>
        <w:spacing w:before="0" w:after="22" w:line="240" w:lineRule="auto"/>
        <w:ind w:left="259"/>
      </w:pPr>
      <w:r>
        <w:t>Fuentes base y trazabilidad se reconcilian con los borradores PRD/SRS v0.4; se conserva la herencia v0.3 y la aprobación formal permanece pendiente.</w:t>
      </w:r>
    </w:p>
    <w:p>
      <w:pPr>
        <w:pStyle w:val="ListBullet"/>
        <w:spacing w:before="0" w:after="22" w:line="240" w:lineRule="auto"/>
        <w:ind w:left="259"/>
      </w:pPr>
      <w:r>
        <w:rPr>
          <w:rFonts w:ascii="Liberation Sans" w:hAnsi="Liberation Sans"/>
          <w:sz w:val="18"/>
        </w:rPr>
        <w:t>TBD-1 a TBD-9 quedan explícitos; TBD-5 tiene una dirección interna para el spike y TBD-4 una política de retención propuesta, ambas con revisión legal pendiente.</w:t>
      </w:r>
    </w:p>
    <w:p>
      <w:pPr>
        <w:spacing w:after="0"/>
      </w:pPr>
      <w:r>
        <w:br w:type="page"/>
      </w:r>
    </w:p>
    <w:p>
      <w:pPr>
        <w:keepNext/>
        <w:spacing w:before="0" w:after="100"/>
      </w:pPr>
      <w:r>
        <w:rPr>
          <w:rFonts w:ascii="Liberation Sans" w:hAnsi="Liberation Sans"/>
          <w:b/>
          <w:color w:val="143D56"/>
          <w:sz w:val="30"/>
        </w:rPr>
        <w:t>Contenido y guía de lectura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36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143D56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Sección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143D56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Página</w:t>
            </w:r>
          </w:p>
        </w:tc>
        <w:tc>
          <w:tcPr>
            <w:tcW w:type="dxa" w:w="56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143D56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Qué contiene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1. Alcance, método y base documental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4</w:t>
            </w:r>
          </w:p>
        </w:tc>
        <w:tc>
          <w:tcPr>
            <w:tcW w:type="dxa" w:w="56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Qué se consolidó y cómo se actualiza la traza a v0.4.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2. Comprensión consolidada del producto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5</w:t>
            </w:r>
          </w:p>
        </w:tc>
        <w:tc>
          <w:tcPr>
            <w:tcW w:type="dxa" w:w="56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Valor, perfiles, posicionamiento y alcance candidato.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3. S-0.1 y métricas candidatas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6</w:t>
            </w:r>
          </w:p>
        </w:tc>
        <w:tc>
          <w:tcPr>
            <w:tcW w:type="dxa" w:w="56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Señales ficticias sin inferir prioridad; metas no medidas.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4. Comparación competitiva acotada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7</w:t>
            </w:r>
          </w:p>
        </w:tc>
        <w:tc>
          <w:tcPr>
            <w:tcW w:type="dxa" w:w="56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Páginas consultadas, fecha, fuente y nivel.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5. Convergencia y trazabilidad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8</w:t>
            </w:r>
          </w:p>
        </w:tc>
        <w:tc>
          <w:tcPr>
            <w:tcW w:type="dxa" w:w="56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r>
              <w:t>RF/NFR heredados; trazabilidad reconciliada contra los borradores PRD/SRS v0.4.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6. Decisiones abiertas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9–10</w:t>
            </w:r>
          </w:p>
        </w:tc>
        <w:tc>
          <w:tcPr>
            <w:tcW w:type="dxa" w:w="56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TBD-1 a TBD-9, propuestas y bloqueos.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7. Riesgos y dependencias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11</w:t>
            </w:r>
          </w:p>
        </w:tc>
        <w:tc>
          <w:tcPr>
            <w:tcW w:type="dxa" w:w="56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Evidencia, captura, privacidad, datos, alcance y legal.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8. Plan separado de avance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12</w:t>
            </w:r>
          </w:p>
        </w:tc>
        <w:tc>
          <w:tcPr>
            <w:tcW w:type="dxa" w:w="56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Prototipo sintético frente a validación real.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9. Preparación, verificación y salida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13</w:t>
            </w:r>
          </w:p>
        </w:tc>
        <w:tc>
          <w:tcPr>
            <w:tcW w:type="dxa" w:w="56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Puertas para desarrollo, captura y piloto.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10. Conclusión y fuentes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14</w:t>
            </w:r>
          </w:p>
        </w:tc>
        <w:tc>
          <w:tcPr>
            <w:tcW w:type="dxa" w:w="56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Conclusión, fuentes y nota de versión.</w:t>
            </w:r>
          </w:p>
        </w:tc>
      </w:tr>
    </w:tbl>
    <w:p>
      <w:pPr>
        <w:spacing w:after="0"/>
      </w:pPr>
    </w:p>
    <w:p>
      <w:pPr>
        <w:keepNext/>
        <w:spacing w:before="80" w:after="40"/>
      </w:pPr>
      <w:r>
        <w:rPr>
          <w:rFonts w:ascii="Liberation Sans" w:hAnsi="Liberation Sans"/>
          <w:b/>
          <w:color w:val="2F6F8F"/>
          <w:sz w:val="22"/>
        </w:rPr>
        <w:t>Convenciones de lectura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5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143D56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Marca</w:t>
            </w:r>
          </w:p>
        </w:tc>
        <w:tc>
          <w:tcPr>
            <w:tcW w:type="dxa" w:w="86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143D56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Uso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[HIP]</w:t>
            </w:r>
          </w:p>
        </w:tc>
        <w:tc>
          <w:tcPr>
            <w:tcW w:type="dxa" w:w="86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Hipótesis o meta provisional; requiere validación.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[TBD-n]</w:t>
            </w:r>
          </w:p>
        </w:tc>
        <w:tc>
          <w:tcPr>
            <w:tcW w:type="dxa" w:w="86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Decisión o vacío abierto; no se presenta como resuelto salvo la propuesta interna indicada.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[SYN]</w:t>
            </w:r>
          </w:p>
        </w:tc>
        <w:tc>
          <w:tcPr>
            <w:tcW w:type="dxa" w:w="86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Dato, fixture o evento sintético; no es dato de campo.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“No verificado”</w:t>
            </w:r>
          </w:p>
        </w:tc>
        <w:tc>
          <w:tcPr>
            <w:tcW w:type="dxa" w:w="86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La página no mostró evidencia suficiente; no es afirmación negativa sobre el proveedor.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8E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F6F8F"/>
              <w:left w:val="single" w:sz="8" w:color="2F6F8F"/>
              <w:bottom w:val="single" w:sz="8" w:color="2F6F8F"/>
              <w:right w:val="single" w:sz="8" w:color="2F6F8F"/>
            </w:tcBorders>
          </w:tcPr>
          <w:p>
            <w:pPr>
              <w:spacing w:after="40" w:line="247" w:lineRule="auto"/>
            </w:pPr>
            <w:r/>
            <w:r>
              <w:rPr>
                <w:rFonts w:ascii="Liberation Sans" w:hAnsi="Liberation Sans"/>
                <w:b/>
                <w:color w:val="7A5A00"/>
                <w:sz w:val="18"/>
              </w:rPr>
              <w:t>REGLA DE NO EXTRAPOLACIÓN</w:t>
            </w:r>
          </w:p>
          <w:p>
            <w:pPr>
              <w:spacing w:after="0" w:line="247" w:lineRule="auto"/>
            </w:pPr>
            <w:r>
              <w:rPr>
                <w:rFonts w:ascii="Liberation Sans" w:hAnsi="Liberation Sans"/>
                <w:color w:val="26343D"/>
                <w:sz w:val="18"/>
              </w:rPr>
              <w:t>El ficticio n=16 de S-0.1 se conserva para trazabilidad y diseñar preguntas. No se usa para ordenar segmentos, calcular demanda, elegir emisores ni justificar el MVP.</w:t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keepNext/>
        <w:spacing w:before="0" w:after="100"/>
      </w:pPr>
      <w:r>
        <w:rPr>
          <w:rFonts w:ascii="Liberation Sans" w:hAnsi="Liberation Sans"/>
          <w:b/>
          <w:color w:val="143D56"/>
          <w:sz w:val="30"/>
        </w:rPr>
        <w:t>1. Alcance, método y base documental</w:t>
      </w:r>
    </w:p>
    <w:p>
      <w:pPr>
        <w:spacing w:before="0" w:after="60" w:line="254" w:lineRule="auto"/>
      </w:pPr>
      <w:r>
        <w:t>Esta revisión consolida SD-0.3 y contrasta sus trazas contra los borradores emitidos PRD CNF-PRD-001 v0.4 y SRS CNF-SRS-001 v0.4. Incorpora el Registro de Evidencia de Alternativas consultado el 17-oct-2026. No incorpora entrevistas, encuestas ni datos de uso; S-0.1 se conserva solo como escenario simulado para ensayar preguntas y diseño técnico.</w:t>
      </w:r>
    </w:p>
    <w:p>
      <w:pPr>
        <w:spacing w:before="0" w:after="60" w:line="254" w:lineRule="auto"/>
      </w:pPr>
      <w:r>
        <w:t>La actualización usa las emisiones borrador PRD CNF-PRD-001 v0.4 y SRS CNF-SRS-001 v0.4, ambas incluidas en esta entrega. La matriz se reconcilió con el contenido visible de v0.4; la revisión y aprobación formal de la línea base siguen pendientes. No se inventan requisitos, entrevistas, muestras ni decisiones aprobadas.</w:t>
      </w:r>
    </w:p>
    <w:p>
      <w:pPr>
        <w:keepNext/>
        <w:spacing w:before="80" w:after="40"/>
      </w:pPr>
      <w:r>
        <w:rPr>
          <w:rFonts w:ascii="Liberation Sans" w:hAnsi="Liberation Sans"/>
          <w:b/>
          <w:color w:val="2F6F8F"/>
          <w:sz w:val="22"/>
        </w:rPr>
        <w:t>Fuentes base y estado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143D56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ID / fuente</w:t>
            </w:r>
          </w:p>
        </w:tc>
        <w:tc>
          <w:tcPr>
            <w:tcW w:type="dxa" w:w="40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143D56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Aporte</w:t>
            </w:r>
          </w:p>
        </w:tc>
        <w:tc>
          <w:tcPr>
            <w:tcW w:type="dxa" w:w="46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143D56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Estado en SD-0.4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[B1] PRD CNF-PRD-001 v0.4</w:t>
            </w:r>
          </w:p>
        </w:tc>
        <w:tc>
          <w:tcPr>
            <w:tcW w:type="dxa" w:w="40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r>
              <w:t>Visión, alcance, objetivos y RF/RNF; borrador v0.4 emitido, pendiente de aprobación.</w:t>
            </w:r>
          </w:p>
        </w:tc>
        <w:tc>
          <w:tcPr>
            <w:tcW w:type="dxa" w:w="46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r>
              <w:t>Emitido en esta entrega como borrador de visión y alcance; pendiente de aprobación.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[B2] SRS CNF-SRS-001 v0.4</w:t>
            </w:r>
          </w:p>
        </w:tc>
        <w:tc>
          <w:tcPr>
            <w:tcW w:type="dxa" w:w="40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r>
              <w:t>Requisitos, reglas, datos y verificación; borrador v0.4 emitido, pendiente de aprobación.</w:t>
            </w:r>
          </w:p>
        </w:tc>
        <w:tc>
          <w:tcPr>
            <w:tcW w:type="dxa" w:w="46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r>
              <w:t>Emitido en esta entrega como borrador de requisitos; pendiente de aprobación.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[B3] PRD CNF-PRD-001 v0.3</w:t>
            </w:r>
          </w:p>
        </w:tc>
        <w:tc>
          <w:tcPr>
            <w:tcW w:type="dxa" w:w="40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Visión, hipótesis, alcance candidato, métricas y riesgos.</w:t>
            </w:r>
          </w:p>
        </w:tc>
        <w:tc>
          <w:tcPr>
            <w:tcW w:type="dxa" w:w="46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r>
              <w:t>Antecedente histórico consultado; sustituido por el borrador v0.4.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[B4] SRS CNF-SRS-001 v0.3</w:t>
            </w:r>
          </w:p>
        </w:tc>
        <w:tc>
          <w:tcPr>
            <w:tcW w:type="dxa" w:w="40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Requisitos, TBD-1…TBD-9 y trazabilidad PRD↔SRS.</w:t>
            </w:r>
          </w:p>
        </w:tc>
        <w:tc>
          <w:tcPr>
            <w:tcW w:type="dxa" w:w="46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r>
              <w:t>Antecedente histórico consultado; sustituido por el borrador v0.4.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r>
              <w:t>[B5] Guía CNF-GEI-001 v0.2</w:t>
            </w:r>
          </w:p>
        </w:tc>
        <w:tc>
          <w:tcPr>
            <w:tcW w:type="dxa" w:w="40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Perfiles, preguntas, consentimiento y criterios de campo.</w:t>
            </w:r>
          </w:p>
        </w:tc>
        <w:tc>
          <w:tcPr>
            <w:tcW w:type="dxa" w:w="46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r>
              <w:t>Protocolo revisado para entrevistas reales; no implica que se hayan realizado.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r>
              <w:t>[B6] Informe CNF-HAL-001-S, S-0.1, revisión v0.2</w:t>
            </w:r>
          </w:p>
        </w:tc>
        <w:tc>
          <w:tcPr>
            <w:tcW w:type="dxa" w:w="40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16 registros y señales ficticias.</w:t>
            </w:r>
          </w:p>
        </w:tc>
        <w:tc>
          <w:tcPr>
            <w:tcW w:type="dxa" w:w="46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r>
              <w:t>Escenario simulado con cifras ficticias; no es evidencia de campo.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[E] Registro de alternativas</w:t>
            </w:r>
          </w:p>
        </w:tc>
        <w:tc>
          <w:tcPr>
            <w:tcW w:type="dxa" w:w="40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r>
              <w:t>Registro E1–E4 incluido en PRD v0.4, §15; URLs públicas citadas allí.</w:t>
            </w:r>
          </w:p>
        </w:tc>
        <w:tc>
          <w:tcPr>
            <w:tcW w:type="dxa" w:w="46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r>
              <w:t>Consultado 17-oct-2026; fuentes oficiales/publicación del proveedor; hipótesis separadas.</w:t>
            </w:r>
          </w:p>
        </w:tc>
      </w:tr>
      <w:tr>
        <w:tc>
          <w:tcPr>
            <w:tcW w:type="dxa" w:w="3427"/>
          </w:tcPr>
          <w:p>
            <w:r>
              <w:t>[B7] Spike CNF-ST-01 v0.3</w:t>
            </w:r>
          </w:p>
        </w:tc>
        <w:tc>
          <w:tcPr>
            <w:tcW w:type="dxa" w:w="3427"/>
          </w:tcPr>
          <w:p>
            <w:r>
              <w:t>Revisión actual y alcance</w:t>
            </w:r>
          </w:p>
        </w:tc>
        <w:tc>
          <w:tcPr>
            <w:tcW w:type="dxa" w:w="3427"/>
          </w:tcPr>
          <w:p>
            <w:r>
              <w:t>Comparación técnica documental y slice sintética; no integra canales reales ni ejecuta ADR-0001.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0F7F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F6F8F"/>
              <w:left w:val="single" w:sz="8" w:color="2F6F8F"/>
              <w:bottom w:val="single" w:sz="8" w:color="2F6F8F"/>
              <w:right w:val="single" w:sz="8" w:color="2F6F8F"/>
            </w:tcBorders>
          </w:tcPr>
          <w:p>
            <w:pPr>
              <w:spacing w:after="40" w:line="247" w:lineRule="auto"/>
            </w:pPr>
            <w:r/>
            <w:r>
              <w:rPr>
                <w:rFonts w:ascii="Liberation Sans" w:hAnsi="Liberation Sans"/>
                <w:b/>
                <w:color w:val="25613A"/>
                <w:sz w:val="18"/>
              </w:rPr>
              <w:t>IDENTIDAD DOCUMENTAL</w:t>
            </w:r>
          </w:p>
          <w:p>
            <w:pPr>
              <w:spacing w:after="0" w:line="247" w:lineRule="auto"/>
            </w:pPr>
            <w:r>
              <w:rPr>
                <w:rFonts w:ascii="Liberation Sans" w:hAnsi="Liberation Sans"/>
                <w:color w:val="26343D"/>
                <w:sz w:val="18"/>
              </w:rPr>
              <w:t>CNF-SD-001 se conserva por continuidad. CNF es el prefijo histórico heredado de Confirma; el nombre visible actual es Chulito.</w:t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keepNext/>
        <w:spacing w:before="0" w:after="100"/>
      </w:pPr>
      <w:r>
        <w:rPr>
          <w:rFonts w:ascii="Liberation Sans" w:hAnsi="Liberation Sans"/>
          <w:b/>
          <w:color w:val="143D56"/>
          <w:sz w:val="30"/>
        </w:rPr>
        <w:t>2. Comprensión consolidada del producto</w:t>
      </w:r>
    </w:p>
    <w:p>
      <w:pPr>
        <w:keepNext/>
        <w:spacing w:before="80" w:after="40"/>
      </w:pPr>
      <w:r>
        <w:rPr>
          <w:rFonts w:ascii="Liberation Sans" w:hAnsi="Liberation Sans"/>
          <w:b/>
          <w:color w:val="2F6F8F"/>
          <w:sz w:val="22"/>
        </w:rPr>
        <w:t>2.1 Hipótesis de valor y posicionamiento</w:t>
      </w:r>
    </w:p>
    <w:p>
      <w:pPr>
        <w:spacing w:before="0" w:after="60" w:line="254" w:lineRule="auto"/>
      </w:pPr>
      <w:r>
        <w:rPr>
          <w:rFonts w:ascii="Liberation Sans" w:hAnsi="Liberation Sans"/>
          <w:b w:val="0"/>
          <w:i w:val="0"/>
          <w:sz w:val="18"/>
        </w:rPr>
        <w:t>La hipótesis de valor por validar es que Chulito ayude a un negocio pequeño con empleados a confirmar pagos digitales desde una fuente controlada por el usuario, mostrar el estado al cajero sin exponer la cuenta del titular y reunir movimientos de emisores habilitados en un libro diario. Debe distinguir Confirmado, Pendiente, Dudoso y No reconocido; una coincidencia insuficiente no debe convertirse automáticamente en confirmación.</w:t>
      </w:r>
    </w:p>
    <w:p>
      <w:pPr>
        <w:spacing w:before="0" w:after="60" w:line="254" w:lineRule="auto"/>
      </w:pPr>
      <w:r>
        <w:rPr>
          <w:rFonts w:ascii="Liberation Sans" w:hAnsi="Liberation Sans"/>
          <w:b w:val="0"/>
          <w:i w:val="0"/>
          <w:sz w:val="18"/>
        </w:rPr>
        <w:t>Posicionamiento, segmento y alcance son hipótesis de trabajo. La comparación competitiva identifica solo solapamientos observables en páginas consultadas; no prueba una oportunidad, una brecha ni una prioridad. No se infiere prioridad del ficticio n=16.</w:t>
      </w:r>
    </w:p>
    <w:p>
      <w:pPr>
        <w:keepNext/>
        <w:spacing w:before="80" w:after="40"/>
      </w:pPr>
      <w:r>
        <w:rPr>
          <w:rFonts w:ascii="Liberation Sans" w:hAnsi="Liberation Sans"/>
          <w:b/>
          <w:color w:val="2F6F8F"/>
          <w:sz w:val="22"/>
        </w:rPr>
        <w:t>2.2 Perfiles y composición del escenario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143D56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Perfil de S-0.1</w:t>
            </w:r>
          </w:p>
        </w:tc>
        <w:tc>
          <w:tcPr>
            <w:tcW w:type="dxa" w:w="10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143D56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n ficticio</w:t>
            </w:r>
          </w:p>
        </w:tc>
        <w:tc>
          <w:tcPr>
            <w:tcW w:type="dxa" w:w="41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143D56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Prioridad de trabajo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143D56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Necesidad hipotética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Tienda de barrio</w:t>
            </w:r>
          </w:p>
        </w:tc>
        <w:tc>
          <w:tcPr>
            <w:tcW w:type="dxa" w:w="10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5</w:t>
            </w:r>
          </w:p>
        </w:tc>
        <w:tc>
          <w:tcPr>
            <w:tcW w:type="dxa" w:w="41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Por validar: alta si tiene empleados y varios medios.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Cajero ve el pago; dueño cuadra.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Comida / domicilios</w:t>
            </w:r>
          </w:p>
        </w:tc>
        <w:tc>
          <w:tcPr>
            <w:tcW w:type="dxa" w:w="10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4</w:t>
            </w:r>
          </w:p>
        </w:tc>
        <w:tc>
          <w:tcPr>
            <w:tcW w:type="dxa" w:w="41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Por validar: alta si tiene empleados y varios medios.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Confirmación rápida y registro diario.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Vendedor por redes</w:t>
            </w:r>
          </w:p>
        </w:tc>
        <w:tc>
          <w:tcPr>
            <w:tcW w:type="dxa" w:w="10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4</w:t>
            </w:r>
          </w:p>
        </w:tc>
        <w:tc>
          <w:tcPr>
            <w:tcW w:type="dxa" w:w="41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Por validar: media; podría quedar después.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Verificación rápida; menor ajuste al foco.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Cajero / empleado</w:t>
            </w:r>
          </w:p>
        </w:tc>
        <w:tc>
          <w:tcPr>
            <w:tcW w:type="dxa" w:w="10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3</w:t>
            </w:r>
          </w:p>
        </w:tc>
        <w:tc>
          <w:tcPr>
            <w:tcW w:type="dxa" w:w="41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Rol de usuario, no segmento comprador.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Consultar sin acceder a la cuenta.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Total</w:t>
            </w:r>
          </w:p>
        </w:tc>
        <w:tc>
          <w:tcPr>
            <w:tcW w:type="dxa" w:w="10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16</w:t>
            </w:r>
          </w:p>
        </w:tc>
        <w:tc>
          <w:tcPr>
            <w:tcW w:type="dxa" w:w="41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No representa muestra real.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Distribución ficticia de S-0.1.</w:t>
            </w:r>
          </w:p>
        </w:tc>
      </w:tr>
    </w:tbl>
    <w:p>
      <w:pPr>
        <w:spacing w:after="0"/>
      </w:pPr>
    </w:p>
    <w:p>
      <w:pPr>
        <w:keepNext/>
        <w:spacing w:before="80" w:after="40"/>
      </w:pPr>
      <w:r>
        <w:rPr>
          <w:rFonts w:ascii="Liberation Sans" w:hAnsi="Liberation Sans"/>
          <w:b/>
          <w:color w:val="2F6F8F"/>
          <w:sz w:val="22"/>
        </w:rPr>
        <w:t>2.3 Alcance candidato, no baselinado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51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143D56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Dentro de la hipótesis de MVP</w:t>
            </w:r>
          </w:p>
        </w:tc>
        <w:tc>
          <w:tcPr>
            <w:tcW w:type="dxa" w:w="51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143D56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Fuera / después del MVP provisional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Registro; roles dueño/cajero; captura controlada; parsers; vista de confirmaciones; libro diario multiemisor; conciliación; dudosos; auditoría.</w:t>
            </w:r>
          </w:p>
        </w:tc>
        <w:tc>
          <w:tcPr>
            <w:tcW w:type="dxa" w:w="51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Custodiar/mover dinero; sustituir POS; integraciones bancarias oficiales; app dedicada; reportes/CSV; alertas por patrones.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8E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F6F8F"/>
              <w:left w:val="single" w:sz="8" w:color="2F6F8F"/>
              <w:bottom w:val="single" w:sz="8" w:color="2F6F8F"/>
              <w:right w:val="single" w:sz="8" w:color="2F6F8F"/>
            </w:tcBorders>
          </w:tcPr>
          <w:p>
            <w:pPr>
              <w:spacing w:after="40" w:line="247" w:lineRule="auto"/>
            </w:pPr>
            <w:r/>
            <w:r>
              <w:rPr>
                <w:rFonts w:ascii="Liberation Sans" w:hAnsi="Liberation Sans"/>
                <w:b/>
                <w:color w:val="7A5A00"/>
                <w:sz w:val="18"/>
              </w:rPr>
              <w:t>LÍMITE</w:t>
            </w:r>
          </w:p>
          <w:p>
            <w:pPr>
              <w:spacing w:after="0" w:line="247" w:lineRule="auto"/>
            </w:pPr>
            <w:r>
              <w:rPr>
                <w:rFonts w:ascii="Liberation Sans" w:hAnsi="Liberation Sans"/>
                <w:color w:val="26343D"/>
                <w:sz w:val="18"/>
              </w:rPr>
              <w:t>La hipótesis “negocio con empleados y varios emisores” orienta prototipo y guía de investigación. Solo evidencia real y aprobación documentada pueden convertirla en segmento y alcance baselinados.</w:t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keepNext/>
        <w:spacing w:before="0" w:after="100"/>
      </w:pPr>
      <w:r>
        <w:rPr>
          <w:rFonts w:ascii="Liberation Sans" w:hAnsi="Liberation Sans"/>
          <w:b/>
          <w:color w:val="143D56"/>
          <w:sz w:val="30"/>
        </w:rPr>
        <w:t>3. Señales de S-0.1 y métricas candidatas</w:t>
      </w:r>
    </w:p>
    <w:p>
      <w:pPr>
        <w:spacing w:before="0" w:after="60" w:line="254" w:lineRule="auto"/>
      </w:pPr>
      <w:r>
        <w:rPr>
          <w:rFonts w:ascii="Liberation Sans" w:hAnsi="Liberation Sans"/>
          <w:b w:val="0"/>
          <w:i w:val="0"/>
          <w:sz w:val="18"/>
        </w:rPr>
        <w:t>Se conservan las señales para no perder trazabilidad. Cada cifra es ilustrativa de un escenario simulado de 16 registros ficticios. No estima incidencia ni preferencia de mercado y no ordena el backlog.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143D56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Hipótesis</w:t>
            </w:r>
          </w:p>
        </w:tc>
        <w:tc>
          <w:tcPr>
            <w:tcW w:type="dxa" w:w="45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143D56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Señal ficticia preservada</w:t>
            </w:r>
          </w:p>
        </w:tc>
        <w:tc>
          <w:tcPr>
            <w:tcW w:type="dxa" w:w="38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143D56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Lectura permitida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H1 · frecuencia</w:t>
            </w:r>
          </w:p>
        </w:tc>
        <w:tc>
          <w:tcPr>
            <w:tcW w:type="dxa" w:w="45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14/16 reciben pagos digitales cada semana; 20–60 % de ventas.</w:t>
            </w:r>
          </w:p>
        </w:tc>
        <w:tc>
          <w:tcPr>
            <w:tcW w:type="dxa" w:w="38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Explorar flujo frecuente; no extrapolar.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H2 · pantallazos</w:t>
            </w:r>
          </w:p>
        </w:tc>
        <w:tc>
          <w:tcPr>
            <w:tcW w:type="dxa" w:w="45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9/16 aceptan pantallazos; con QR suelen mirar la notificación.</w:t>
            </w:r>
          </w:p>
        </w:tc>
        <w:tc>
          <w:tcPr>
            <w:tcW w:type="dxa" w:w="38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Probar fuente controlada; fraude secundario.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H3 · dudosos</w:t>
            </w:r>
          </w:p>
        </w:tc>
        <w:tc>
          <w:tcPr>
            <w:tcW w:type="dxa" w:w="45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8/16 relatan caso falso o dudoso en seis meses.</w:t>
            </w:r>
          </w:p>
        </w:tc>
        <w:tc>
          <w:tcPr>
            <w:tcW w:type="dxa" w:w="38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Mantener revisión; no afirmar incidencia.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H4 · coste</w:t>
            </w:r>
          </w:p>
        </w:tc>
        <w:tc>
          <w:tcPr>
            <w:tcW w:type="dxa" w:w="45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Montos pequeños típicos y un caso grande; tensión/tiempo en fila.</w:t>
            </w:r>
          </w:p>
        </w:tc>
        <w:tc>
          <w:tcPr>
            <w:tcW w:type="dxa" w:w="38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Medir caja y cuadre en campo.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H5 · alternativas</w:t>
            </w:r>
          </w:p>
        </w:tc>
        <w:tc>
          <w:tcPr>
            <w:tcW w:type="dxa" w:w="45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11/16 revisan app o llaman al dueño; 5/16 ven suficiente el verificador Nequi.</w:t>
            </w:r>
          </w:p>
        </w:tc>
        <w:tc>
          <w:tcPr>
            <w:tcW w:type="dxa" w:w="38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Probar vista delegada/libro; preferencia no validada.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H6 · prueba/privacidad</w:t>
            </w:r>
          </w:p>
        </w:tc>
        <w:tc>
          <w:tcPr>
            <w:tcW w:type="dxa" w:w="45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7/16 probarían; 11/16 preocupados por acceso al correo.</w:t>
            </w:r>
          </w:p>
        </w:tc>
        <w:tc>
          <w:tcPr>
            <w:tcW w:type="dxa" w:w="38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Comparar captura controlada; no afirmar disposición real.</w:t>
            </w:r>
          </w:p>
        </w:tc>
      </w:tr>
    </w:tbl>
    <w:p>
      <w:pPr>
        <w:spacing w:after="0"/>
      </w:pPr>
    </w:p>
    <w:p>
      <w:pPr>
        <w:keepNext/>
        <w:spacing w:before="80" w:after="40"/>
      </w:pPr>
      <w:r>
        <w:rPr>
          <w:rFonts w:ascii="Liberation Sans" w:hAnsi="Liberation Sans"/>
          <w:b/>
          <w:color w:val="2F6F8F"/>
          <w:sz w:val="22"/>
        </w:rPr>
        <w:t>Metas candidatas PRD/SRS aún no medidas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143D56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Métrica</w:t>
            </w:r>
          </w:p>
        </w:tc>
        <w:tc>
          <w:tcPr>
            <w:tcW w:type="dxa" w:w="30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143D56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Meta candidata</w:t>
            </w:r>
          </w:p>
        </w:tc>
        <w:tc>
          <w:tcPr>
            <w:tcW w:type="dxa" w:w="49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143D56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Condición de prueba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Confirmación sin llamar</w:t>
            </w:r>
          </w:p>
        </w:tc>
        <w:tc>
          <w:tcPr>
            <w:tcW w:type="dxa" w:w="30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≥80 % en piloto.</w:t>
            </w:r>
          </w:p>
        </w:tc>
        <w:tc>
          <w:tcPr>
            <w:tcW w:type="dxa" w:w="49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Definir denominador y registrar eventos.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Tiempo de cuadre</w:t>
            </w:r>
          </w:p>
        </w:tc>
        <w:tc>
          <w:tcPr>
            <w:tcW w:type="dxa" w:w="30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Reducción ≥50 %.</w:t>
            </w:r>
          </w:p>
        </w:tc>
        <w:tc>
          <w:tcPr>
            <w:tcW w:type="dxa" w:w="49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Medir por negocio; 20–40 min de S-0.1 solo orienta.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Falsos positivos</w:t>
            </w:r>
          </w:p>
        </w:tc>
        <w:tc>
          <w:tcPr>
            <w:tcW w:type="dxa" w:w="30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0 en pruebas manipuladas.</w:t>
            </w:r>
          </w:p>
        </w:tc>
        <w:tc>
          <w:tcPr>
            <w:tcW w:type="dxa" w:w="49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Definir casos; no es garantía.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Latencia</w:t>
            </w:r>
          </w:p>
        </w:tc>
        <w:tc>
          <w:tcPr>
            <w:tcW w:type="dxa" w:w="30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&lt;10 s; SRS 95 % bajo 10 s.</w:t>
            </w:r>
          </w:p>
        </w:tc>
        <w:tc>
          <w:tcPr>
            <w:tcW w:type="dxa" w:w="49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Acordar percentil y límites.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Parsers</w:t>
            </w:r>
          </w:p>
        </w:tc>
        <w:tc>
          <w:tcPr>
            <w:tcW w:type="dxa" w:w="30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≥2 emisores.</w:t>
            </w:r>
          </w:p>
        </w:tc>
        <w:tc>
          <w:tcPr>
            <w:tcW w:type="dxa" w:w="49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Elegir y obtener muestras autorizadas.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Idempotencia</w:t>
            </w:r>
          </w:p>
        </w:tc>
        <w:tc>
          <w:tcPr>
            <w:tcW w:type="dxa" w:w="30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0 duplicados.</w:t>
            </w:r>
          </w:p>
        </w:tc>
        <w:tc>
          <w:tcPr>
            <w:tcW w:type="dxa" w:w="49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Probar reintentos con fixtures [SYN].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Piloto/capacidad</w:t>
            </w:r>
          </w:p>
        </w:tc>
        <w:tc>
          <w:tcPr>
            <w:tcW w:type="dxa" w:w="30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≥2 negocios/semana; 20 negocios; 50 notif./min; 99,5 % mensual objetivo.</w:t>
            </w:r>
          </w:p>
        </w:tc>
        <w:tc>
          <w:tcPr>
            <w:tcW w:type="dxa" w:w="49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Medir con participantes y carga definidos.</w:t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keepNext/>
        <w:spacing w:before="0" w:after="100"/>
      </w:pPr>
      <w:r>
        <w:rPr>
          <w:rFonts w:ascii="Liberation Sans" w:hAnsi="Liberation Sans"/>
          <w:b/>
          <w:color w:val="143D56"/>
          <w:sz w:val="30"/>
        </w:rPr>
        <w:t>4. Comparación competitiva acotada</w:t>
      </w:r>
    </w:p>
    <w:p>
      <w:pPr>
        <w:spacing w:before="0" w:after="60" w:line="254" w:lineRule="auto"/>
      </w:pPr>
      <w:r>
        <w:rPr>
          <w:rFonts w:ascii="Liberation Sans" w:hAnsi="Liberation Sans"/>
          <w:b w:val="0"/>
          <w:i w:val="0"/>
          <w:sz w:val="18"/>
        </w:rPr>
        <w:t>Síntesis de las páginas registradas en Registro_Evidencia_Alternativas.md. Fecha de consulta: 17 de octubre de 2026, hora Colombia. No se empleó prensa ni una muestra exhaustiva. La ausencia de una función en una página no demuestra que el proveedor carezca de ella.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143D56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Fuente / nivel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143D56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Hechos observables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143D56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Límite de lectura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E1 · Nequi Negocios</w:t>
              <w:br/>
              <w:t>Oficial · 17-oct-2026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QR desde bancos participantes Bre-B, tarjetas y links; empleados; ventas/transacciones; dinero en cuenta Nequi.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No se verificó libro independiente multiemisor; “no observado”, no ausencia probada.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E2 · Kuadra</w:t>
              <w:br/>
              <w:t>Oficial · 17-oct-2026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Inventario, ventas, reportes, CRM, facturación, cobros Nequi/links/QR; usuarios web/móvil.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No se verificó ingestión de notificaciones multiemisor ni estado compartido para cajeros.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E3 · Cajero</w:t>
              <w:br/>
              <w:t>Google Play · 17-oct-2026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La ficha declara datáfono móvil, links, Cupo, ventas en tiempo real, catálogo, operador colaborador y Transfiya.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Última actualización visible 21-may-2024; ficha del publicador, no validación independiente. cajero.co no cargó.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E4 · Bre-B</w:t>
              <w:br/>
              <w:t>Banco República · 17-oct-2026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Sistema interoperable inmediato; P2P/P2C con llaves/QR; 24/7; QR para comercios.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Riel de pagos, no app de conciliación multiemisor ni evidencia de acceso a notificaciones.</w:t>
            </w:r>
          </w:p>
        </w:tc>
      </w:tr>
    </w:tbl>
    <w:p>
      <w:pPr>
        <w:spacing w:after="0"/>
      </w:pPr>
    </w:p>
    <w:p>
      <w:pPr>
        <w:keepNext/>
        <w:spacing w:before="80" w:after="40"/>
      </w:pPr>
      <w:r>
        <w:rPr>
          <w:rFonts w:ascii="Liberation Sans" w:hAnsi="Liberation Sans"/>
          <w:b/>
          <w:color w:val="2F6F8F"/>
          <w:sz w:val="22"/>
        </w:rPr>
        <w:t>Síntesis de posicionamiento como hipótesis</w:t>
      </w:r>
    </w:p>
    <w:p>
      <w:pPr>
        <w:spacing w:before="0" w:after="60" w:line="254" w:lineRule="auto"/>
      </w:pPr>
      <w:r>
        <w:rPr>
          <w:rFonts w:ascii="Liberation Sans" w:hAnsi="Liberation Sans"/>
          <w:b w:val="0"/>
          <w:i w:val="0"/>
          <w:sz w:val="18"/>
        </w:rPr>
        <w:t>La oportunidad hipotética podría ser una vista compartida de confirmaciones auténticas y un libro multiemisor para negocios con cajero, sin compartir credenciales del titular. Es hipótesis de producto, no conclusión de mercado; debe contrastarse con campo y funciones vigentes antes de aprobar posicionamiento o alcance.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F6F8F"/>
              <w:left w:val="single" w:sz="8" w:color="2F6F8F"/>
              <w:bottom w:val="single" w:sz="8" w:color="2F6F8F"/>
              <w:right w:val="single" w:sz="8" w:color="2F6F8F"/>
            </w:tcBorders>
          </w:tcPr>
          <w:p>
            <w:pPr>
              <w:spacing w:after="40" w:line="247" w:lineRule="auto"/>
            </w:pPr>
            <w:r/>
            <w:r>
              <w:rPr>
                <w:rFonts w:ascii="Liberation Sans" w:hAnsi="Liberation Sans"/>
                <w:b/>
                <w:color w:val="143D56"/>
                <w:sz w:val="18"/>
              </w:rPr>
              <w:t>NIVEL DE EVIDENCIA</w:t>
            </w:r>
          </w:p>
          <w:p>
            <w:pPr>
              <w:spacing w:after="0" w:line="247" w:lineRule="auto"/>
            </w:pPr>
            <w:r>
              <w:rPr>
                <w:rFonts w:ascii="Liberation Sans" w:hAnsi="Liberation Sans"/>
                <w:color w:val="26343D"/>
                <w:sz w:val="18"/>
              </w:rPr>
              <w:t>E1, E2 y E4 son páginas oficiales; E3 es ficha pública del publicador en marketplace. La consulta documenta lo visto y la fecha; no es evaluación de paridad, cuota o demanda.</w:t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keepNext/>
        <w:spacing w:before="0" w:after="100"/>
      </w:pPr>
      <w:r>
        <w:rPr>
          <w:rFonts w:ascii="Liberation Sans" w:hAnsi="Liberation Sans"/>
          <w:b/>
          <w:color w:val="143D56"/>
          <w:sz w:val="30"/>
        </w:rPr>
        <w:t>5. Convergencia de requisitos y trazabilidad</w:t>
      </w:r>
    </w:p>
    <w:p>
      <w:pPr>
        <w:spacing w:before="0" w:after="60" w:line="254" w:lineRule="auto"/>
      </w:pPr>
      <w:r>
        <w:t>La matriz se reconcilió contra PRD/SRS v0.4: conserva los identificadores heredados y refleja los requisitos, casos de uso y criterios de fallo incorporados en esta revisión. Los documentos siguen en borrador; la traza no valida hipótesis ni equivale a aprobación de la línea base.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28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143D56"/>
          </w:tcPr>
          <w:p>
            <w:r>
              <w:t>PRD v0.4</w:t>
            </w:r>
          </w:p>
        </w:tc>
        <w:tc>
          <w:tcPr>
            <w:tcW w:type="dxa" w:w="32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143D56"/>
          </w:tcPr>
          <w:p>
            <w:r>
              <w:t>SRS v0.4</w:t>
            </w:r>
          </w:p>
        </w:tc>
        <w:tc>
          <w:tcPr>
            <w:tcW w:type="dxa" w:w="41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143D56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Resultado / estado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RF-01</w:t>
            </w:r>
          </w:p>
        </w:tc>
        <w:tc>
          <w:tcPr>
            <w:tcW w:type="dxa" w:w="32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r>
              <w:t>SRS-F-10–15; SRS-NFR-04/11</w:t>
            </w:r>
          </w:p>
        </w:tc>
        <w:tc>
          <w:tcPr>
            <w:tcW w:type="dxa" w:w="41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r>
              <w:t>Captura, parser, normalización, canal degradado, reintentos y eventos tardíos; canal/emisores reales abiertos en TBD-1/2.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RF-02</w:t>
            </w:r>
          </w:p>
        </w:tc>
        <w:tc>
          <w:tcPr>
            <w:tcW w:type="dxa" w:w="32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SRS-F-13; NFR-04</w:t>
            </w:r>
          </w:p>
        </w:tc>
        <w:tc>
          <w:tcPr>
            <w:tcW w:type="dxa" w:w="41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Huella e idempotencia; prueba sintética puede avanzar.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RF-03</w:t>
            </w:r>
          </w:p>
        </w:tc>
        <w:tc>
          <w:tcPr>
            <w:tcW w:type="dxa" w:w="32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SRS-F-20, F-23; F-04</w:t>
            </w:r>
          </w:p>
        </w:tc>
        <w:tc>
          <w:tcPr>
            <w:tcW w:type="dxa" w:w="41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Vista de cajero sin cuenta; permisos abiertos.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RF-04</w:t>
            </w:r>
          </w:p>
        </w:tc>
        <w:tc>
          <w:tcPr>
            <w:tcW w:type="dxa" w:w="32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SRS-F-21, F-22; RN-03</w:t>
            </w:r>
          </w:p>
        </w:tc>
        <w:tc>
          <w:tcPr>
            <w:tcW w:type="dxa" w:w="41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Cobro y emparejamiento; ventana provisional TBD-3.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RF-05</w:t>
            </w:r>
          </w:p>
        </w:tc>
        <w:tc>
          <w:tcPr>
            <w:tcW w:type="dxa" w:w="32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SRS-F-30, F-31; F-32 posterior</w:t>
            </w:r>
          </w:p>
        </w:tc>
        <w:tc>
          <w:tcPr>
            <w:tcW w:type="dxa" w:w="41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Libro multiemisor; CSV posterior al MVP.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RF-06</w:t>
            </w:r>
          </w:p>
        </w:tc>
        <w:tc>
          <w:tcPr>
            <w:tcW w:type="dxa" w:w="32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SRS-F-05; NFR-06</w:t>
            </w:r>
          </w:p>
        </w:tc>
        <w:tc>
          <w:tcPr>
            <w:tcW w:type="dxa" w:w="41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Aislamiento multi-tenant; probar negativos.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RF-07</w:t>
            </w:r>
          </w:p>
        </w:tc>
        <w:tc>
          <w:tcPr>
            <w:tcW w:type="dxa" w:w="32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SRS-F-03, F-04; F-01/F-02 derivados</w:t>
            </w:r>
          </w:p>
        </w:tc>
        <w:tc>
          <w:tcPr>
            <w:tcW w:type="dxa" w:w="41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r>
              <w:t>Alta/autenticación, permisos mínimos y cajeros; aprobaciones pendientes.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RF-08</w:t>
            </w:r>
          </w:p>
        </w:tc>
        <w:tc>
          <w:tcPr>
            <w:tcW w:type="dxa" w:w="32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SRS-F-24, F-25</w:t>
            </w:r>
          </w:p>
        </w:tc>
        <w:tc>
          <w:tcPr>
            <w:tcW w:type="dxa" w:w="41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Dudoso, revisión y auditoría; no automático.</w:t>
            </w:r>
          </w:p>
        </w:tc>
      </w:tr>
    </w:tbl>
    <w:p>
      <w:pPr>
        <w:spacing w:after="0"/>
      </w:pPr>
    </w:p>
    <w:p>
      <w:pPr>
        <w:keepNext/>
        <w:spacing w:before="80" w:after="40"/>
      </w:pPr>
      <w:r>
        <w:rPr>
          <w:rFonts w:ascii="Liberation Sans" w:hAnsi="Liberation Sans"/>
          <w:b/>
          <w:color w:val="2F6F8F"/>
          <w:sz w:val="22"/>
        </w:rPr>
        <w:t>Requisitos transversales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143D56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Tema</w:t>
            </w:r>
          </w:p>
        </w:tc>
        <w:tc>
          <w:tcPr>
            <w:tcW w:type="dxa" w:w="36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143D56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Herencia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143D56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Estado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Privacidad</w:t>
            </w:r>
          </w:p>
        </w:tc>
        <w:tc>
          <w:tcPr>
            <w:tcW w:type="dxa" w:w="36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r>
              <w:t>RNF-02 / SRS-NFR-07 / SRS-F-41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r>
              <w:t>Minimización, consentimiento revocable, exportación/borrado; retención propuesta 7 días/12 meses, legal pendiente.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Seguridad/auditoría</w:t>
            </w:r>
          </w:p>
        </w:tc>
        <w:tc>
          <w:tcPr>
            <w:tcW w:type="dxa" w:w="36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RNF-04 / NFR-05/06/08/11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Diseño y pruebas sintéticas; aprobación pendiente.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Rendimiento</w:t>
            </w:r>
          </w:p>
        </w:tc>
        <w:tc>
          <w:tcPr>
            <w:tcW w:type="dxa" w:w="36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Métricas / NFR-01–03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Metas candidatas; no resultados.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Stack</w:t>
            </w:r>
          </w:p>
        </w:tc>
        <w:tc>
          <w:tcPr>
            <w:tcW w:type="dxa" w:w="36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NFR-12 / ADR-0001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Compatibilidad no ejecutada; TBD-8.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Regulación</w:t>
            </w:r>
          </w:p>
        </w:tc>
        <w:tc>
          <w:tcPr>
            <w:tcW w:type="dxa" w:w="36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NFR-13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Supuesto; TBD-6 antes de piloto.</w:t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keepNext/>
        <w:spacing w:before="0" w:after="100"/>
      </w:pPr>
      <w:r>
        <w:rPr>
          <w:rFonts w:ascii="Liberation Sans" w:hAnsi="Liberation Sans"/>
          <w:b/>
          <w:color w:val="143D56"/>
          <w:sz w:val="30"/>
        </w:rPr>
        <w:t>6. Decisiones abiertas — TBD-1 a TBD-5</w:t>
      </w:r>
    </w:p>
    <w:p>
      <w:pPr>
        <w:spacing w:before="0" w:after="60" w:line="254" w:lineRule="auto"/>
      </w:pPr>
      <w:r>
        <w:t>Las decisiones y propuestas siguientes se reflejan en los borradores PRD/SRS v0.4. Ninguna propuesta autoriza captura real, define cumplimiento legal o sustituye la revisión de línea base.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143D56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ID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143D56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Decisión</w:t>
            </w:r>
          </w:p>
        </w:tc>
        <w:tc>
          <w:tcPr>
            <w:tcW w:type="dxa" w:w="45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143D56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Estado / propuesta acotada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143D56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Salida / bloqueo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TBD-1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Vía de captura.</w:t>
            </w:r>
          </w:p>
        </w:tc>
        <w:tc>
          <w:tcPr>
            <w:tcW w:type="dxa" w:w="45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Abierto: comparar reenvío selectivo, lectura limitada u otra vía controlada; S-0.1 no demuestra preferencia.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Spike + ADR; bloquea integración real.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TBD-2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Emisores del MVP.</w:t>
            </w:r>
          </w:p>
        </w:tc>
        <w:tc>
          <w:tcPr>
            <w:tcW w:type="dxa" w:w="45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Abierto: validar uso, prioridad y muestras; no elegir por n=16.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Campo + muestras autorizadas; bloquea cobertura.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TBD-3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Ventana de emparejamiento.</w:t>
            </w:r>
          </w:p>
        </w:tc>
        <w:tc>
          <w:tcPr>
            <w:tcW w:type="dxa" w:w="45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Provisional: 10 min por defecto, configurable, heredada de RN-03 [HIP].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Probar flujo real antes de baselinar.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TBD-4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Retención/eliminación.</w:t>
            </w:r>
          </w:p>
        </w:tc>
        <w:tc>
          <w:tcPr>
            <w:tcW w:type="dxa" w:w="45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r>
              <w:t>[PROPUESTA] cuerpo original cifrado hasta 7 días, borrado temprano tras parseo exitoso; campos normalizados 12 meses desde el evento. Legal pendiente; no es aprobación legal.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Amenazas, inventario, borrado y asesoría; bloquea datos reales.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TBD-5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Alertas al dueño.</w:t>
            </w:r>
          </w:p>
        </w:tc>
        <w:tc>
          <w:tcPr>
            <w:tcW w:type="dxa" w:w="45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r>
              <w:t>Cerrado por decisión de producto v0.4: aviso dentro de la app y por correo; SMS y push fuera del MVP; requiere consentimiento y prueba de entrega.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ADR, consentimiento y fallos; no compromiso de producto.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8E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F6F8F"/>
              <w:left w:val="single" w:sz="8" w:color="2F6F8F"/>
              <w:bottom w:val="single" w:sz="8" w:color="2F6F8F"/>
              <w:right w:val="single" w:sz="8" w:color="2F6F8F"/>
            </w:tcBorders>
          </w:tcPr>
          <w:p>
            <w:pPr>
              <w:spacing w:after="40" w:line="247" w:lineRule="auto"/>
            </w:pPr>
            <w:r/>
            <w:r>
              <w:rPr>
                <w:rFonts w:ascii="Liberation Sans" w:hAnsi="Liberation Sans"/>
                <w:b/>
                <w:color w:val="7A5A00"/>
                <w:sz w:val="18"/>
              </w:rPr>
              <w:t>PROPUESTA NO ES BASELINE</w:t>
            </w:r>
          </w:p>
          <w:p>
            <w:pPr>
              <w:spacing w:after="0" w:line="247" w:lineRule="auto"/>
            </w:pPr>
            <w:r>
              <w:rPr>
                <w:rFonts w:ascii="Liberation Sans" w:hAnsi="Liberation Sans"/>
                <w:color w:val="26343D"/>
                <w:sz w:val="18"/>
              </w:rPr>
              <w:t>TBD-4 y TBD-5 tienen dirección interna para no detener el prototipo sintético. Ninguna autoriza captura real, define cumplimiento legal o cierra PRD/SRS v0.4.</w:t>
            </w:r>
          </w:p>
        </w:tc>
      </w:tr>
    </w:tbl>
    <w:p>
      <w:pPr>
        <w:spacing w:after="0"/>
      </w:pPr>
    </w:p>
    <w:p>
      <w:pPr>
        <w:keepNext/>
        <w:spacing w:before="80" w:after="40"/>
      </w:pPr>
      <w:r>
        <w:rPr>
          <w:rFonts w:ascii="Liberation Sans" w:hAnsi="Liberation Sans"/>
          <w:b/>
          <w:color w:val="2F6F8F"/>
          <w:sz w:val="22"/>
        </w:rPr>
        <w:t>Otras preguntas abiertas</w:t>
      </w:r>
    </w:p>
    <w:p>
      <w:pPr>
        <w:pStyle w:val="ListBullet"/>
        <w:spacing w:before="0" w:after="22" w:line="240" w:lineRule="auto"/>
        <w:ind w:left="259"/>
      </w:pPr>
      <w:r>
        <w:rPr>
          <w:rFonts w:ascii="Liberation Sans" w:hAnsi="Liberation Sans"/>
          <w:sz w:val="18"/>
        </w:rPr>
        <w:t>Catálogo de permisos dueño/cajero, revocación, sesiones y datos visibles; debe verificarse con aislamiento.</w:t>
      </w:r>
    </w:p>
    <w:p>
      <w:pPr>
        <w:pStyle w:val="ListBullet"/>
        <w:spacing w:before="0" w:after="22" w:line="240" w:lineRule="auto"/>
        <w:ind w:left="259"/>
      </w:pPr>
      <w:r>
        <w:rPr>
          <w:rFonts w:ascii="Liberation Sans" w:hAnsi="Liberation Sans"/>
          <w:sz w:val="18"/>
        </w:rPr>
        <w:t>Modelo de uso/precio: posponer hasta medir adopción y valor; no se deriva de S-0.1.</w:t>
      </w:r>
    </w:p>
    <w:p>
      <w:pPr>
        <w:spacing w:after="0"/>
      </w:pPr>
      <w:r>
        <w:br w:type="page"/>
      </w:r>
    </w:p>
    <w:p>
      <w:pPr>
        <w:keepNext/>
        <w:spacing w:before="0" w:after="100"/>
      </w:pPr>
      <w:r>
        <w:rPr>
          <w:rFonts w:ascii="Liberation Sans" w:hAnsi="Liberation Sans"/>
          <w:b/>
          <w:color w:val="143D56"/>
          <w:sz w:val="30"/>
        </w:rPr>
        <w:t>6. Decisiones abiertas — TBD-6 a TBD-9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10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143D56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ID</w:t>
            </w:r>
          </w:p>
        </w:tc>
        <w:tc>
          <w:tcPr>
            <w:tcW w:type="dxa" w:w="48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143D56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Decisión / vacío</w:t>
            </w:r>
          </w:p>
        </w:tc>
        <w:tc>
          <w:tcPr>
            <w:tcW w:type="dxa" w:w="42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143D56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Estado y condición de cierre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TBD-6</w:t>
            </w:r>
          </w:p>
        </w:tc>
        <w:tc>
          <w:tcPr>
            <w:tcW w:type="dxa" w:w="48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Validación legal del supuesto NFR-13; no inferir exención por no custodiar/mover dinero.</w:t>
            </w:r>
          </w:p>
        </w:tc>
        <w:tc>
          <w:tcPr>
            <w:tcW w:type="dxa" w:w="42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Abierto y bloqueante para piloto: asesoría legal local sobre datos, pagos y obligaciones.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TBD-7</w:t>
            </w:r>
          </w:p>
        </w:tc>
        <w:tc>
          <w:tcPr>
            <w:tcW w:type="dxa" w:w="48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Validación real de segmento, problema y alcance; S-0.1 simulado.</w:t>
            </w:r>
          </w:p>
        </w:tc>
        <w:tc>
          <w:tcPr>
            <w:tcW w:type="dxa" w:w="42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Abierto y bloqueante para baselining: entrevistas, consentimiento, síntesis y aprobación del PRD.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TBD-8</w:t>
            </w:r>
          </w:p>
        </w:tc>
        <w:tc>
          <w:tcPr>
            <w:tcW w:type="dxa" w:w="48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Compatibilidad NestJS/TypeScript/Node.js y dependencias para ADR-0001.</w:t>
            </w:r>
          </w:p>
        </w:tc>
        <w:tc>
          <w:tcPr>
            <w:tcW w:type="dxa" w:w="42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Spike separado con versiones, toolchain, CI y matriz reproducible; ST-01 no lo cubre.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TBD-9</w:t>
            </w:r>
          </w:p>
        </w:tc>
        <w:tc>
          <w:tcPr>
            <w:tcW w:type="dxa" w:w="48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Port de vertical slice Python al stack objetivo.</w:t>
            </w:r>
          </w:p>
        </w:tc>
        <w:tc>
          <w:tcPr>
            <w:tcW w:type="dxa" w:w="42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Traducir contrato, reglas y pruebas a TypeScript/NestJS; conservar fixtures; Python no es producción.</w:t>
            </w:r>
          </w:p>
        </w:tc>
      </w:tr>
    </w:tbl>
    <w:p>
      <w:pPr>
        <w:spacing w:after="0"/>
      </w:pPr>
    </w:p>
    <w:p>
      <w:pPr>
        <w:keepNext/>
        <w:spacing w:before="80" w:after="40"/>
      </w:pPr>
      <w:r>
        <w:rPr>
          <w:rFonts w:ascii="Liberation Sans" w:hAnsi="Liberation Sans"/>
          <w:b/>
          <w:color w:val="2F6F8F"/>
          <w:sz w:val="22"/>
        </w:rPr>
        <w:t>Qué bloquean y qué no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51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143D56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No bloquean ahora</w:t>
            </w:r>
          </w:p>
        </w:tc>
        <w:tc>
          <w:tcPr>
            <w:tcW w:type="dxa" w:w="51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143D56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Sí bloquean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TBD-8/TBD-9 no bloquean exploración técnica con fixtures [SYN]. Python puede ser especificación ejecutable. TBD-3 admite ventana provisional y TBD-5 el canal interno indicado.</w:t>
            </w:r>
          </w:p>
        </w:tc>
        <w:tc>
          <w:tcPr>
            <w:tcW w:type="dxa" w:w="51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TBD-6/TBD-7 bloquean piloto y baselining. TBD-1/TBD-2/TBD-4 bloquean integración/captura real. Ninguna propuesta interna es evidencia ni cumplimiento.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F6F8F"/>
              <w:left w:val="single" w:sz="8" w:color="2F6F8F"/>
              <w:bottom w:val="single" w:sz="8" w:color="2F6F8F"/>
              <w:right w:val="single" w:sz="8" w:color="2F6F8F"/>
            </w:tcBorders>
          </w:tcPr>
          <w:p>
            <w:pPr>
              <w:spacing w:after="40" w:line="247" w:lineRule="auto"/>
            </w:pPr>
            <w:r/>
            <w:r>
              <w:rPr>
                <w:rFonts w:ascii="Liberation Sans" w:hAnsi="Liberation Sans"/>
                <w:b/>
                <w:color w:val="143D56"/>
                <w:sz w:val="18"/>
              </w:rPr>
              <w:t>PUERTA DE PRODUCTO</w:t>
            </w:r>
          </w:p>
          <w:p>
            <w:pPr>
              <w:spacing w:after="0" w:line="247" w:lineRule="auto"/>
            </w:pPr>
            <w:r>
              <w:rPr>
                <w:rFonts w:ascii="Liberation Sans" w:hAnsi="Liberation Sans"/>
                <w:color w:val="26343D"/>
                <w:sz w:val="18"/>
              </w:rPr>
              <w:t>Antes de declarar un MVP: validar problema y segmento con personas reales, acordar alcance, reconciliar PRD/SRS v0.4 y obtener aprobación. El trabajo sintético puede continuar.</w:t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keepNext/>
        <w:spacing w:before="0" w:after="100"/>
      </w:pPr>
      <w:r>
        <w:rPr>
          <w:rFonts w:ascii="Liberation Sans" w:hAnsi="Liberation Sans"/>
          <w:b/>
          <w:color w:val="143D56"/>
          <w:sz w:val="30"/>
        </w:rPr>
        <w:t>7. Riesgos y dependencias</w:t>
      </w:r>
    </w:p>
    <w:p>
      <w:pPr>
        <w:spacing w:before="0" w:after="60" w:line="254" w:lineRule="auto"/>
      </w:pPr>
      <w:r>
        <w:rPr>
          <w:rFonts w:ascii="Liberation Sans" w:hAnsi="Liberation Sans"/>
          <w:b w:val="0"/>
          <w:i w:val="0"/>
          <w:sz w:val="18"/>
        </w:rPr>
        <w:t>Se mantienen los riesgos de SD-0.3, actualizados para separar avance sintético de decisiones que requieren evidencia real o revisión legal.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38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143D56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Riesgo / dependencia</w:t>
            </w:r>
          </w:p>
        </w:tc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143D56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Atención</w:t>
            </w:r>
          </w:p>
        </w:tc>
        <w:tc>
          <w:tcPr>
            <w:tcW w:type="dxa" w:w="410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143D56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Mitigación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S-0.1 n=16 ficticio; no entrevistas.</w:t>
            </w:r>
          </w:p>
        </w:tc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Alta producto; no bloquea sintético.</w:t>
            </w:r>
          </w:p>
        </w:tc>
        <w:tc>
          <w:tcPr>
            <w:tcW w:type="dxa" w:w="410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No usar porcentajes para demanda/segmento/alcance; validar campo.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Canal con restricciones de plataforma.</w:t>
            </w:r>
          </w:p>
        </w:tc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Alta; TBD-1/RK3.</w:t>
            </w:r>
          </w:p>
        </w:tc>
        <w:tc>
          <w:tcPr>
            <w:tcW w:type="dxa" w:w="410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Adaptador separado; spike y ADR.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Privacidad / acceso amplio.</w:t>
            </w:r>
          </w:p>
        </w:tc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Alta; TBD-4/TBD-6/RK4.</w:t>
            </w:r>
          </w:p>
        </w:tc>
        <w:tc>
          <w:tcPr>
            <w:tcW w:type="dxa" w:w="410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Minimización, control, cifrado, retención propuesta, legal.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Formatos cambian.</w:t>
            </w:r>
          </w:p>
        </w:tc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Alto impacto; RK2.</w:t>
            </w:r>
          </w:p>
        </w:tc>
        <w:tc>
          <w:tcPr>
            <w:tcW w:type="dxa" w:w="410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Parsers aislados, fixtures, no reconocidos, alertas.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Muestras reales no disponibles.</w:t>
            </w:r>
          </w:p>
        </w:tc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Abierta; TBD-2.</w:t>
            </w:r>
          </w:p>
        </w:tc>
        <w:tc>
          <w:tcPr>
            <w:tcW w:type="dxa" w:w="410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Esquema/fixtures; no declarar cobertura real.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Alcance excesivo.</w:t>
            </w:r>
          </w:p>
        </w:tc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Alta; RK5.</w:t>
            </w:r>
          </w:p>
        </w:tc>
        <w:tc>
          <w:tcPr>
            <w:tcW w:type="dxa" w:w="410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Vertical slice; reportes/CSV/app fuera inicialmente.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Emisores mejoran verificadores.</w:t>
            </w:r>
          </w:p>
        </w:tc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Medio/alto; RK6.</w:t>
            </w:r>
          </w:p>
        </w:tc>
        <w:tc>
          <w:tcPr>
            <w:tcW w:type="dxa" w:w="410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Revisar funciones; diferenciar solo como hipótesis.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Supuesto regulatorio incompleto.</w:t>
            </w:r>
          </w:p>
        </w:tc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Alta antes de piloto.</w:t>
            </w:r>
          </w:p>
        </w:tc>
        <w:tc>
          <w:tcPr>
            <w:tcW w:type="dxa" w:w="410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TBD-6 legal; no usar “no custodiar” como conclusión.</w:t>
            </w:r>
          </w:p>
        </w:tc>
      </w:tr>
    </w:tbl>
    <w:p>
      <w:pPr>
        <w:spacing w:after="0"/>
      </w:pPr>
    </w:p>
    <w:p>
      <w:pPr>
        <w:keepNext/>
        <w:spacing w:before="80" w:after="40"/>
      </w:pPr>
      <w:r>
        <w:rPr>
          <w:rFonts w:ascii="Liberation Sans" w:hAnsi="Liberation Sans"/>
          <w:b/>
          <w:color w:val="2F6F8F"/>
          <w:sz w:val="22"/>
        </w:rPr>
        <w:t>Dependencias de evidencia</w:t>
      </w:r>
    </w:p>
    <w:p>
      <w:pPr>
        <w:pStyle w:val="ListBullet"/>
        <w:spacing w:before="0" w:after="22" w:line="240" w:lineRule="auto"/>
        <w:ind w:left="259"/>
      </w:pPr>
      <w:r>
        <w:rPr>
          <w:rFonts w:ascii="Liberation Sans" w:hAnsi="Liberation Sans"/>
          <w:sz w:val="18"/>
        </w:rPr>
        <w:t>Entrevistas reales, consentimiento, muestras autorizadas/anonimizadas y línea base de cuadre por negocio.</w:t>
      </w:r>
    </w:p>
    <w:p>
      <w:pPr>
        <w:pStyle w:val="ListBullet"/>
        <w:spacing w:before="0" w:after="22" w:line="240" w:lineRule="auto"/>
        <w:ind w:left="259"/>
      </w:pPr>
      <w:r>
        <w:rPr>
          <w:rFonts w:ascii="Liberation Sans" w:hAnsi="Liberation Sans"/>
          <w:sz w:val="18"/>
        </w:rPr>
        <w:t>Canal/emisor, reglas de conciliación, retención/borrado, soporte e incidentes.</w:t>
      </w:r>
    </w:p>
    <w:p>
      <w:pPr>
        <w:pStyle w:val="ListBullet"/>
        <w:spacing w:before="0" w:after="22" w:line="240" w:lineRule="auto"/>
        <w:ind w:left="259"/>
      </w:pPr>
      <w:r>
        <w:rPr>
          <w:rFonts w:ascii="Liberation Sans" w:hAnsi="Liberation Sans"/>
          <w:sz w:val="18"/>
        </w:rPr>
        <w:t>Requisitos derivados, compatibilidad de stack y aprobación de decisiones antes de baselinar.</w:t>
      </w:r>
    </w:p>
    <w:p>
      <w:pPr>
        <w:spacing w:after="0"/>
      </w:pPr>
      <w:r>
        <w:br w:type="page"/>
      </w:r>
    </w:p>
    <w:p>
      <w:pPr>
        <w:keepNext/>
        <w:spacing w:before="0" w:after="100"/>
      </w:pPr>
      <w:r>
        <w:rPr>
          <w:rFonts w:ascii="Liberation Sans" w:hAnsi="Liberation Sans"/>
          <w:b/>
          <w:color w:val="143D56"/>
          <w:sz w:val="30"/>
        </w:rPr>
        <w:t>8. Plan separado de avance</w:t>
      </w:r>
    </w:p>
    <w:p>
      <w:pPr>
        <w:spacing w:before="0" w:after="60" w:line="254" w:lineRule="auto"/>
      </w:pPr>
      <w:r>
        <w:rPr>
          <w:rFonts w:ascii="Liberation Sans" w:hAnsi="Liberation Sans"/>
          <w:b w:val="0"/>
          <w:i w:val="0"/>
          <w:sz w:val="18"/>
        </w:rPr>
        <w:t>La separación evita que un resultado técnico con datos sintéticos se lea como validación de mercado. Ambos frentes pueden correr en paralelo, pero tienen salidas y puertas distintas.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51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143D56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Prototipo sintético que puede avanzar</w:t>
            </w:r>
          </w:p>
        </w:tc>
        <w:tc>
          <w:tcPr>
            <w:tcW w:type="dxa" w:w="51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143D56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Validación real requerida antes de baselinar / pilotar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Esquema canónico: negocio, emisor, monto, fecha/hora, referencia, huella, estado y origen.</w:t>
            </w:r>
          </w:p>
        </w:tc>
        <w:tc>
          <w:tcPr>
            <w:tcW w:type="dxa" w:w="51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Entrevistar perfiles reales para problema, segmento, lenguaje, frecuencia, prioridades y alcance.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Dueño/cajero, permisos mínimos, cobro, evento [SYN], emparejamiento, estados, libro y auditoría.</w:t>
            </w:r>
          </w:p>
        </w:tc>
        <w:tc>
          <w:tcPr>
            <w:tcW w:type="dxa" w:w="51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Elegir emisores/canal y obtener muestras propias, autorizadas y anonimizadas.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Probar idempotencia, duplicados, ausentes, no reconocidos, dudosos, revocación y aislamiento con fixtures.</w:t>
            </w:r>
          </w:p>
        </w:tc>
        <w:tc>
          <w:tcPr>
            <w:tcW w:type="dxa" w:w="51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Medir línea base, latencia, confirmación sin llamar, falsos positivos y uso con denominadores.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r>
              <w:t>ST-01 cubre canales con evidencia documental y fixtures sintéticos; el spike de compatibilidad (TBD-8), ADR-0001 y el port a TypeScript/NestJS (TBD-9) siguen pendientes.</w:t>
            </w:r>
          </w:p>
        </w:tc>
        <w:tc>
          <w:tcPr>
            <w:tcW w:type="dxa" w:w="51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Cerrar retención, borrado, consentimiento, datos, incidentes y revisión legal.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No declarar Python como backend productivo; conservar límites.</w:t>
            </w:r>
          </w:p>
        </w:tc>
        <w:tc>
          <w:tcPr>
            <w:tcW w:type="dxa" w:w="51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Aprobar PRD/SRS v0.4, participantes, soporte y condiciones del piloto.</w:t>
            </w:r>
          </w:p>
        </w:tc>
      </w:tr>
    </w:tbl>
    <w:p>
      <w:pPr>
        <w:spacing w:after="0"/>
      </w:pPr>
    </w:p>
    <w:p>
      <w:pPr>
        <w:keepNext/>
        <w:spacing w:before="80" w:after="40"/>
      </w:pPr>
      <w:r>
        <w:rPr>
          <w:rFonts w:ascii="Liberation Sans" w:hAnsi="Liberation Sans"/>
          <w:b/>
          <w:color w:val="2F6F8F"/>
          <w:sz w:val="22"/>
        </w:rPr>
        <w:t>Salida sintética</w:t>
      </w:r>
    </w:p>
    <w:p>
      <w:pPr>
        <w:spacing w:before="0" w:after="60" w:line="254" w:lineRule="auto"/>
      </w:pPr>
      <w:r>
        <w:rPr>
          <w:rFonts w:ascii="Liberation Sans" w:hAnsi="Liberation Sans"/>
          <w:b w:val="0"/>
          <w:i w:val="0"/>
          <w:sz w:val="18"/>
        </w:rPr>
        <w:t>Demostración reproducible de confirmación compartida + registro multiemisor con fixtures sintéticos, sin afirmar integración productiva, cobertura real, preferencia de usuarios ni validez regulatoria.</w:t>
      </w:r>
    </w:p>
    <w:p>
      <w:pPr>
        <w:keepNext/>
        <w:spacing w:before="80" w:after="40"/>
      </w:pPr>
      <w:r>
        <w:rPr>
          <w:rFonts w:ascii="Liberation Sans" w:hAnsi="Liberation Sans"/>
          <w:b/>
          <w:color w:val="2F6F8F"/>
          <w:sz w:val="22"/>
        </w:rPr>
        <w:t>Salida de validación</w:t>
      </w:r>
    </w:p>
    <w:p>
      <w:pPr>
        <w:spacing w:before="0" w:after="60" w:line="254" w:lineRule="auto"/>
      </w:pPr>
      <w:r>
        <w:rPr>
          <w:rFonts w:ascii="Liberation Sans" w:hAnsi="Liberation Sans"/>
          <w:b w:val="0"/>
          <w:i w:val="0"/>
          <w:sz w:val="18"/>
        </w:rPr>
        <w:t>Evidencia real separada, hipótesis confirmadas/refutadas, decisión de segmento/alcance, muestras autorizadas, requisitos reconciliados y aprobación antes de línea base o piloto.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1F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F6F8F"/>
              <w:left w:val="single" w:sz="8" w:color="2F6F8F"/>
              <w:bottom w:val="single" w:sz="8" w:color="2F6F8F"/>
              <w:right w:val="single" w:sz="8" w:color="2F6F8F"/>
            </w:tcBorders>
          </w:tcPr>
          <w:p>
            <w:pPr>
              <w:spacing w:after="40" w:line="247" w:lineRule="auto"/>
            </w:pPr>
            <w:r/>
            <w:r>
              <w:rPr>
                <w:rFonts w:ascii="Liberation Sans" w:hAnsi="Liberation Sans"/>
                <w:b/>
                <w:color w:val="8B1E2D"/>
                <w:sz w:val="18"/>
              </w:rPr>
              <w:t>SEPARACIÓN OBLIGATORIA</w:t>
            </w:r>
          </w:p>
          <w:p>
            <w:pPr>
              <w:spacing w:after="0" w:line="247" w:lineRule="auto"/>
            </w:pPr>
            <w:r>
              <w:rPr>
                <w:rFonts w:ascii="Liberation Sans" w:hAnsi="Liberation Sans"/>
                <w:color w:val="26343D"/>
                <w:sz w:val="18"/>
              </w:rPr>
              <w:t>El prototipo puede avanzar mientras se prepara la investigación. La validación real no puede rellenarse con S-0.1 ni con páginas públicas.</w:t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keepNext/>
        <w:spacing w:before="0" w:after="100"/>
      </w:pPr>
      <w:r>
        <w:rPr>
          <w:rFonts w:ascii="Liberation Sans" w:hAnsi="Liberation Sans"/>
          <w:b/>
          <w:color w:val="143D56"/>
          <w:sz w:val="30"/>
        </w:rPr>
        <w:t>9. Preparación, verificación y salida</w:t>
      </w:r>
    </w:p>
    <w:p>
      <w:pPr>
        <w:keepNext/>
        <w:spacing w:before="80" w:after="40"/>
      </w:pPr>
      <w:r>
        <w:rPr>
          <w:rFonts w:ascii="Liberation Sans" w:hAnsi="Liberation Sans"/>
          <w:b/>
          <w:color w:val="2F6F8F"/>
          <w:sz w:val="22"/>
        </w:rPr>
        <w:t>9.1 Puertas de preparación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143D56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Puerta</w:t>
            </w:r>
          </w:p>
        </w:tc>
        <w:tc>
          <w:tcPr>
            <w:tcW w:type="dxa" w:w="77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143D56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Condiciones mínimas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Desarrollo limitado</w:t>
            </w:r>
          </w:p>
        </w:tc>
        <w:tc>
          <w:tcPr>
            <w:tcW w:type="dxa" w:w="77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S-0.1 simulado; PRD/SRS en borrador; slice de roles, evento sintético, idempotencia, emparejamiento, libro y auditoría; fixtures sin datos personales; aislamiento/revocación.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Comprometer captura</w:t>
            </w:r>
          </w:p>
        </w:tc>
        <w:tc>
          <w:tcPr>
            <w:tcW w:type="dxa" w:w="77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Canal por ADR; emisor y muestra autorizada; duplicados, ausentes, no reconocidos y dudosos probados; retención, acceso, auditoría y legal revisados.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Iniciar piloto</w:t>
            </w:r>
          </w:p>
        </w:tc>
        <w:tc>
          <w:tcPr>
            <w:tcW w:type="dxa" w:w="77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Participantes, consentimiento, soporte; métricas con línea base; legal/privacidad; amenazas/incidentes; PRD/SRS v0.4 reconciliados y aprobados.</w:t>
            </w:r>
          </w:p>
        </w:tc>
      </w:tr>
    </w:tbl>
    <w:p>
      <w:pPr>
        <w:spacing w:after="0"/>
      </w:pPr>
    </w:p>
    <w:p>
      <w:pPr>
        <w:keepNext/>
        <w:spacing w:before="80" w:after="40"/>
      </w:pPr>
      <w:r>
        <w:rPr>
          <w:rFonts w:ascii="Liberation Sans" w:hAnsi="Liberation Sans"/>
          <w:b/>
          <w:color w:val="2F6F8F"/>
          <w:sz w:val="22"/>
        </w:rPr>
        <w:t>9.2 Verificaciones realizadas y pendientes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143D56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Verificación</w:t>
            </w:r>
          </w:p>
        </w:tc>
        <w:tc>
          <w:tcPr>
            <w:tcW w:type="dxa" w:w="73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143D56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Estado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Origen y traza PRD↔SRS</w:t>
            </w:r>
          </w:p>
        </w:tc>
        <w:tc>
          <w:tcPr>
            <w:tcW w:type="dxa" w:w="73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r>
              <w:t>PRD RF-01…RF-08 y RNF conservados; SRS v0.4 conserva IDs y añade trazas de fallos, consentimiento y privacidad; borradores pendientes de aprobación.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Compatibilidad stack</w:t>
            </w:r>
          </w:p>
        </w:tc>
        <w:tc>
          <w:tcPr>
            <w:tcW w:type="dxa" w:w="73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No ejecutada; ST-01 no sustituye TBD-8.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Implementación</w:t>
            </w:r>
          </w:p>
        </w:tc>
        <w:tc>
          <w:tcPr>
            <w:tcW w:type="dxa" w:w="73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Python es especificación sintética; port TypeScript/NestJS pendiente (TBD-9).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Producto/segmento</w:t>
            </w:r>
          </w:p>
        </w:tc>
        <w:tc>
          <w:tcPr>
            <w:tcW w:type="dxa" w:w="73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n=16 ficticio; entrevistas pendientes (TBD-7).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Muestras</w:t>
            </w:r>
          </w:p>
        </w:tc>
        <w:tc>
          <w:tcPr>
            <w:tcW w:type="dxa" w:w="73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r>
              <w:t>No se ha integrado un conjunto real de muestras; dependencia abierta (TBD-2).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Regulación/privacidad</w:t>
            </w:r>
          </w:p>
        </w:tc>
        <w:tc>
          <w:tcPr>
            <w:tcW w:type="dxa" w:w="73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NFR-13 supuesto; retención propuesta; legal pendiente (TBD-4/TBD-6).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Alternativas</w:t>
            </w:r>
          </w:p>
        </w:tc>
        <w:tc>
          <w:tcPr>
            <w:tcW w:type="dxa" w:w="73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Registro 17-oct-2026; comparación acotada, no paridad.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F6F8F"/>
              <w:left w:val="single" w:sz="8" w:color="2F6F8F"/>
              <w:bottom w:val="single" w:sz="8" w:color="2F6F8F"/>
              <w:right w:val="single" w:sz="8" w:color="2F6F8F"/>
            </w:tcBorders>
          </w:tcPr>
          <w:p>
            <w:pPr>
              <w:spacing w:after="40" w:line="247" w:lineRule="auto"/>
            </w:pPr>
            <w:r/>
            <w:r>
              <w:rPr>
                <w:rFonts w:ascii="Liberation Sans" w:hAnsi="Liberation Sans"/>
                <w:b/>
                <w:color w:val="143D56"/>
                <w:sz w:val="18"/>
              </w:rPr>
              <w:t>CRITERIO DE SALIDA</w:t>
            </w:r>
          </w:p>
          <w:p>
            <w:pPr>
              <w:spacing w:after="0" w:line="247" w:lineRule="auto"/>
            </w:pPr>
            <w:r>
              <w:rPr>
                <w:rFonts w:ascii="Liberation Sans" w:hAnsi="Liberation Sans"/>
                <w:color w:val="26343D"/>
                <w:sz w:val="18"/>
              </w:rPr>
              <w:t>No declarar “validado”, “priorizado” o “listo para piloto” mientras la evidencia sea S-0.1, fixtures sintéticos o páginas públicas sin investigación y revisión legal.</w:t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keepNext/>
        <w:spacing w:before="0" w:after="100"/>
      </w:pPr>
      <w:r>
        <w:rPr>
          <w:rFonts w:ascii="Liberation Sans" w:hAnsi="Liberation Sans"/>
          <w:b/>
          <w:color w:val="143D56"/>
          <w:sz w:val="30"/>
        </w:rPr>
        <w:t>10. Conclusión y fuentes documentales</w:t>
      </w:r>
    </w:p>
    <w:p>
      <w:pPr>
        <w:spacing w:before="0" w:after="60" w:line="254" w:lineRule="auto"/>
      </w:pPr>
      <w:r>
        <w:rPr>
          <w:rFonts w:ascii="Liberation Sans" w:hAnsi="Liberation Sans"/>
          <w:b w:val="0"/>
          <w:i w:val="0"/>
          <w:sz w:val="18"/>
        </w:rPr>
        <w:t>SD-0.4 mantiene la conclusión de SD-0.3: S-0.1 no permite decidir que un segmento o alcance sea prioritario porque es un escenario simulado, no resultados de entrevistas realizadas. Como hipótesis se puede explorar un negocio pequeño con empleados y varios emisores, confirmación para el cajero y libro diario multiemisor; el fraude queda como función secundaria posible. No se infiere prioridad del ficticio n=16.</w:t>
      </w:r>
    </w:p>
    <w:p>
      <w:pPr>
        <w:spacing w:before="0" w:after="60" w:line="254" w:lineRule="auto"/>
      </w:pPr>
      <w:r>
        <w:t>El trabajo técnico puede avanzar con eventos y fixtures sintéticos. Integración real, baselining y piloto requieren cerrar los TBD aplicables, validar segmento/problema/alcance, elegir canal/emisores con muestras autorizadas, acordar retención, completar la revisión legal y aprobar PRD/SRS v0.4. La comparación competitiva aporta contexto, no demanda.</w:t>
      </w:r>
    </w:p>
    <w:p>
      <w:pPr>
        <w:keepNext/>
        <w:spacing w:before="80" w:after="40"/>
      </w:pPr>
      <w:r>
        <w:rPr>
          <w:rFonts w:ascii="Liberation Sans" w:hAnsi="Liberation Sans"/>
          <w:b/>
          <w:color w:val="2F6F8F"/>
          <w:sz w:val="22"/>
        </w:rPr>
        <w:t>Fuentes consultadas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143D56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ID</w:t>
            </w:r>
          </w:p>
        </w:tc>
        <w:tc>
          <w:tcPr>
            <w:tcW w:type="dxa" w:w="61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143D56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Fuente / ubicación</w:t>
            </w:r>
          </w:p>
        </w:tc>
        <w:tc>
          <w:tcPr>
            <w:tcW w:type="dxa" w:w="33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143D56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Uso y nivel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[B3]</w:t>
            </w:r>
          </w:p>
        </w:tc>
        <w:tc>
          <w:tcPr>
            <w:tcW w:type="dxa" w:w="61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r>
              <w:t>Chulito_PRD_v0.4_2026-10-17.pdf/.docx · PRD/ de esta entrega</w:t>
            </w:r>
          </w:p>
        </w:tc>
        <w:tc>
          <w:tcPr>
            <w:tcW w:type="dxa" w:w="33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r>
              <w:t>Visión, alcance y análisis competitivo; borrador v0.4.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[B4]</w:t>
            </w:r>
          </w:p>
        </w:tc>
        <w:tc>
          <w:tcPr>
            <w:tcW w:type="dxa" w:w="61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r>
              <w:t>SRS_Chulito_v0.4_29148_alineacion_estructural.pdf/.docx · SRS/ de esta entrega</w:t>
            </w:r>
          </w:p>
        </w:tc>
        <w:tc>
          <w:tcPr>
            <w:tcW w:type="dxa" w:w="33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r>
              <w:t>Requisitos, trazas y TBD; borrador v0.4.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[D3]</w:t>
            </w:r>
          </w:p>
        </w:tc>
        <w:tc>
          <w:tcPr>
            <w:tcW w:type="dxa" w:w="61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r>
              <w:t>Chulito_01_Guia_de_Entrevistas_v0.2.pdf/.docx · Investigacion/</w:t>
            </w:r>
          </w:p>
        </w:tc>
        <w:tc>
          <w:tcPr>
            <w:tcW w:type="dxa" w:w="33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r>
              <w:t>Protocolo de campo; no implica entrevistas realizadas.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[D4]</w:t>
            </w:r>
          </w:p>
        </w:tc>
        <w:tc>
          <w:tcPr>
            <w:tcW w:type="dxa" w:w="61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r>
              <w:t>Chulito_03_Hallazgos_S-0.1_ESCENARIO_SIMULADO_revision_v0.2.pdf/.docx · Investigacion/</w:t>
            </w:r>
          </w:p>
        </w:tc>
        <w:tc>
          <w:tcPr>
            <w:tcW w:type="dxa" w:w="33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r>
              <w:t>Escenario simulado; no evidencia de campo.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[E]</w:t>
            </w:r>
          </w:p>
        </w:tc>
        <w:tc>
          <w:tcPr>
            <w:tcW w:type="dxa" w:w="61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r>
              <w:t>Registro E1–E4 reproducido en PRD v0.4, §15; URLs públicas citadas allí.</w:t>
            </w:r>
          </w:p>
        </w:tc>
        <w:tc>
          <w:tcPr>
            <w:tcW w:type="dxa" w:w="33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r>
              <w:t>Consulta 17-oct-2026; fuentes oficiales/publicación del proveedor; hipótesis separadas.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4"/>
              </w:rPr>
              <w:t>[S]</w:t>
            </w:r>
          </w:p>
        </w:tc>
        <w:tc>
          <w:tcPr>
            <w:tcW w:type="dxa" w:w="61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r>
              <w:t>SD-0.3 (antecedente histórico consultado)</w:t>
            </w:r>
          </w:p>
        </w:tc>
        <w:tc>
          <w:tcPr>
            <w:tcW w:type="dxa" w:w="33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r>
              <w:t>Base inmediata; hechos y limitaciones de S-0.1 preservados.</w:t>
            </w:r>
          </w:p>
        </w:tc>
      </w:tr>
    </w:tbl>
    <w:p>
      <w:pPr>
        <w:spacing w:after="0"/>
      </w:pPr>
    </w:p>
    <w:p>
      <w:pPr>
        <w:keepNext/>
        <w:spacing w:before="80" w:after="40"/>
      </w:pPr>
      <w:r>
        <w:rPr>
          <w:rFonts w:ascii="Liberation Sans" w:hAnsi="Liberation Sans"/>
          <w:b/>
          <w:color w:val="2F6F8F"/>
          <w:sz w:val="22"/>
        </w:rPr>
        <w:t>Historial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143D56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Versión</w:t>
            </w:r>
          </w:p>
        </w:tc>
        <w:tc>
          <w:tcPr>
            <w:tcW w:type="dxa" w:w="15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143D56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Fecha</w:t>
            </w:r>
          </w:p>
        </w:tc>
        <w:tc>
          <w:tcPr>
            <w:tcW w:type="dxa" w:w="74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143D56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Cambio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SD-0.4</w:t>
            </w:r>
          </w:p>
        </w:tc>
        <w:tc>
          <w:tcPr>
            <w:tcW w:type="dxa" w:w="15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17-oct-2026</w:t>
            </w:r>
          </w:p>
        </w:tc>
        <w:tc>
          <w:tcPr>
            <w:tcW w:type="dxa" w:w="74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</w:tcPr>
          <w:p>
            <w:r>
              <w:t>Chulito visible; CNF histórico; reconciliación efectiva con borradores PRD/SRS v0.4; evidencia competitiva fechada/nivelada; TBD-1…TBD-9; separación sintético/real.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SD-0.3</w:t>
            </w:r>
          </w:p>
        </w:tc>
        <w:tc>
          <w:tcPr>
            <w:tcW w:type="dxa" w:w="15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17-oct-2026</w:t>
            </w:r>
          </w:p>
        </w:tc>
        <w:tc>
          <w:tcPr>
            <w:tcW w:type="dxa" w:w="74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3" w:color="D2DCE2"/>
              <w:left w:val="single" w:sz="3" w:color="D2DCE2"/>
              <w:bottom w:val="single" w:sz="3" w:color="D2DCE2"/>
              <w:right w:val="single" w:sz="3" w:color="D2DCE2"/>
            </w:tcBorders>
            <w:shd w:fill="F5F8FA"/>
          </w:tcPr>
          <w:p>
            <w:pPr>
              <w:spacing w:before="0"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Antecedente: síntesis Confirma con límites explícitos de S-0.1, traza v0.3 y plan sintético.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F6F8F"/>
              <w:left w:val="single" w:sz="8" w:color="2F6F8F"/>
              <w:bottom w:val="single" w:sz="8" w:color="2F6F8F"/>
              <w:right w:val="single" w:sz="8" w:color="2F6F8F"/>
            </w:tcBorders>
          </w:tcPr>
          <w:p>
            <w:pPr>
              <w:spacing w:after="40" w:line="247" w:lineRule="auto"/>
            </w:pPr>
            <w:r/>
            <w:r>
              <w:rPr>
                <w:rFonts w:ascii="Liberation Sans" w:hAnsi="Liberation Sans"/>
                <w:b/>
                <w:color w:val="143D56"/>
                <w:sz w:val="18"/>
              </w:rPr>
              <w:t>NOTA METODOLÓGICA</w:t>
            </w:r>
          </w:p>
          <w:p>
            <w:pPr>
              <w:spacing w:after="0" w:line="247" w:lineRule="auto"/>
            </w:pPr>
            <w:r>
              <w:rPr>
                <w:rFonts w:ascii="Liberation Sans" w:hAnsi="Liberation Sans"/>
                <w:color w:val="26343D"/>
                <w:sz w:val="18"/>
              </w:rPr>
              <w:t>La mención de ISO/IEC/IEEE 29148:2018 en PRD/SRS describe una alineación estructural seleccionada. No es certificación ni declaración formal de conformidad.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979" w:bottom="835" w:left="979" w:header="331" w:footer="33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B6570"/>
        <w:sz w:val="15"/>
      </w:rPr>
      <w:t xml:space="preserve">Chulito · CNF-SD-001 · SD-0.4 ·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  <w:pBdr>
        <w:bottom w:val="single" w:sz="5" w:space="2" w:color="C8D3D9"/>
      </w:pBdr>
    </w:pPr>
    <w:r>
      <w:rPr>
        <w:rFonts w:ascii="Liberation Sans" w:hAnsi="Liberation Sans"/>
        <w:b/>
        <w:color w:val="8B1E2D"/>
        <w:sz w:val="14"/>
      </w:rPr>
      <w:t>S-0.1 es un escenario simulado, no resultados de entrevistas realizadas.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Liberation Sans" w:hAnsi="Liberation Sans"/>
      <w:color w:val="26343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Chulito — Síntesis documental SD-0.4</dc:title>
  <dc:subject>CNF-SD-001 · Chulito (antes Confirma)</dc:subject>
  <dc:creator>Equipo de producto Chulito</dc:creator>
  <cp:keywords/>
  <dc:description>S-0.1 es un escenario simulado, no resultados de entrevistas realizadas.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