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CONFIRMA  ·  PROYECTO DE SOFTWARE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Especificación de requisitos de software (SRS)</w:t>
      </w:r>
    </w:p>
    <w:p>
      <w:pPr>
        <w:pBdr>
          <w:bottom w:val="single" w:color="2F5496" w:sz="18" w:space="10"/>
        </w:pBdr>
        <w:spacing w:after="28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Fase 0 — Requisitos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del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CNF-SRS-001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0.3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17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Edwin Carabalí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Borrador v0.3; derivado del PRD v0.3; pendiente de revisión y aprobación; S-0.1 es escenario simulado.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t>Estructura alineada con ISO/IEC/IEEE 29148:2018 (2.ª ed.)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Edición de formato</w:t>
            </w:r>
          </w:p>
        </w:tc>
        <w:tc>
          <w:tcPr>
            <w:tcW w:type="dxa" w:w="676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t>17 de octubre de 2026</w:t>
            </w:r>
          </w:p>
        </w:tc>
      </w:tr>
    </w:tbl>
    <w:p>
      <w:pPr>
        <w:keepLines/>
        <w:spacing w:before="160" w:after="100" w:line="259" w:lineRule="auto"/>
        <w:ind w:left="160" w:right="120"/>
        <w:shd w:fill="EEF3F9"/>
        <w:pBdr>
          <w:left w:val="single" w:sz="18" w:space="6" w:color="1F4E79"/>
        </w:pBdr>
      </w:pPr>
      <w:r>
        <w:rPr>
          <w:rFonts w:ascii="Arial" w:hAnsi="Arial"/>
          <w:b/>
          <w:color w:val="1F4E79"/>
          <w:sz w:val="18"/>
        </w:rPr>
        <w:t xml:space="preserve">PROPÓSITO Y COBERTURA ·  </w:t>
      </w:r>
      <w:r>
        <w:rPr>
          <w:rFonts w:ascii="Arial" w:hAnsi="Arial"/>
          <w:color w:val="263746"/>
          <w:sz w:val="18"/>
        </w:rPr>
        <w:t>Define requisitos funcionales y de calidad del MVP de Confirma; cubre cuentas y roles, captura de notificaciones, emparejamiento, libro diario, auditoría, interfaces, datos y verificación.</w:t>
      </w:r>
    </w:p>
    <w:p>
      <w:pPr>
        <w:keepLines/>
        <w:spacing w:before="160" w:after="100" w:line="259" w:lineRule="auto"/>
        <w:ind w:left="160" w:right="120"/>
        <w:shd w:fill="EEF3F9"/>
        <w:pBdr>
          <w:left w:val="single" w:sz="18" w:space="6" w:color="1F4E79"/>
        </w:pBdr>
      </w:pPr>
      <w:r>
        <w:rPr>
          <w:rFonts w:ascii="Arial" w:hAnsi="Arial"/>
          <w:b/>
          <w:color w:val="1F4E79"/>
          <w:sz w:val="18"/>
        </w:rPr>
        <w:t xml:space="preserve">ALCANCE DE ALINEACIÓN ·  </w:t>
      </w:r>
      <w:r>
        <w:rPr>
          <w:rFonts w:ascii="Arial" w:hAnsi="Arial"/>
          <w:color w:val="263746"/>
          <w:sz w:val="18"/>
        </w:rPr>
        <w:t>La organización del documento toma como referencia ISO/IEC/IEEE 29148:2018 (2.ª ed.). Esta adaptación editorial no constituye certificación ni declaración formal de conformidad con la norma.</w:t>
      </w:r>
    </w:p>
    <w:p>
      <w:pPr>
        <w:keepLines/>
        <w:spacing w:before="160" w:after="100" w:line="259" w:lineRule="auto"/>
        <w:ind w:left="160" w:right="120"/>
        <w:shd w:fill="EEF3F9"/>
        <w:pBdr>
          <w:left w:val="single" w:sz="18" w:space="6" w:color="1F4E79"/>
        </w:pBdr>
      </w:pPr>
      <w:r>
        <w:rPr>
          <w:rFonts w:ascii="Arial" w:hAnsi="Arial"/>
          <w:b/>
          <w:color w:val="1F4E79"/>
          <w:sz w:val="18"/>
        </w:rPr>
        <w:t>ESTADO DEL CONTENIDO · Borrador derivado del PRD v0.3. S-0.1 es un escenario simulado, no resultados de entrevistas realizadas. Sus cifras son ficticias y se usan solo como supuesto de trabajo para el diseño sintético; no validan segmento, problema ni alcance. Las marcas [HIP] y TBD identifican aspectos sujetos a validación o decisión.</w:t>
      </w: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pStyle w:val="FrontH"/>
      </w:pPr>
      <w:r>
        <w:rPr>
          <w:rFonts w:ascii="Arial" w:cs="Arial" w:eastAsia="Arial" w:hAnsi="Arial"/>
        </w:rPr>
        <w:t xml:space="preserve">Control del documento</w:t>
      </w:r>
    </w:p>
    <w:p>
      <w:pPr>
        <w:pStyle w:val="FrontS"/>
      </w:pPr>
      <w:r>
        <w:rPr>
          <w:rFonts w:ascii="Arial" w:cs="Arial" w:eastAsia="Arial" w:hAnsi="Arial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CNF-SRS-001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Especificación de requisitos de software (SRS)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Versión vigente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0.3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>Documento de origen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PRD CNF-PRD-001 v0.3 (12-oct-2026); S-0.1 identificado como escenario simulado, no evidencia de campo.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Borrador v0.3; derivado del PRD v0.3; pendiente de revisión y aprobación; S-0.1 es escenario simulado.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Interno — borrador de trabajo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t>Estructura alineada con ISO/IEC/IEEE 29148:2018 (2.ª ed.); no es certificación ni declaración formal de conformidad.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Español (Colombia)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Edición de formato</w:t>
            </w:r>
          </w:p>
        </w:tc>
        <w:tc>
          <w:tcPr>
            <w:tcW w:type="dxa" w:w="676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t>17 de octubre de 2026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44"/>
        <w:gridCol w:w="1428"/>
        <w:gridCol w:w="1643"/>
        <w:gridCol w:w="5045"/>
      </w:tblGrid>
      <w:tr>
        <w:trPr>
          <w:cantSplit/>
          <w:tblHeader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borrador derivado del PRD v0.2</w:t>
            </w:r>
          </w:p>
        </w:tc>
      </w:tr>
      <w:tr>
        <w:trPr>
          <w:cantSplit/>
        </w:trPr>
        <w:tc>
          <w:tcPr>
            <w:tcW w:type="dxa" w:w="1244"/>
            <w:tcMar>
              <w:top w:w="70" w:type="dxa"/>
              <w:start w:w="95" w:type="dxa"/>
              <w:bottom w:w="70" w:type="dxa"/>
              <w:end w:w="95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Formato</w:t>
            </w:r>
          </w:p>
        </w:tc>
        <w:tc>
          <w:tcPr>
            <w:tcW w:type="dxa" w:w="142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12-oct-2026</w:t>
            </w:r>
          </w:p>
        </w:tc>
        <w:tc>
          <w:tcPr>
            <w:tcW w:type="dxa" w:w="164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Edwin Carabalí</w:t>
            </w:r>
          </w:p>
        </w:tc>
        <w:tc>
          <w:tcPr>
            <w:tcW w:type="dxa" w:w="504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Edición profesional y aclaración del alcance de alineación; requisitos, identificadores y TBD conservados.</w:t>
            </w:r>
          </w:p>
        </w:tc>
      </w:tr>
      <w:tr>
        <w:tc>
          <w:tcPr>
            <w:tcW w:type="dxa" w:w="1244"/>
          </w:tcPr>
          <w:p>
            <w:r>
              <w:t>0.2</w:t>
            </w:r>
          </w:p>
        </w:tc>
        <w:tc>
          <w:tcPr>
            <w:tcW w:type="dxa" w:w="1428"/>
          </w:tcPr>
          <w:p>
            <w:r>
              <w:t>13-oct-2026</w:t>
            </w:r>
          </w:p>
        </w:tc>
        <w:tc>
          <w:tcPr>
            <w:tcW w:type="dxa" w:w="1643"/>
          </w:tcPr>
          <w:p>
            <w:r>
              <w:t>Edwin Carabalí</w:t>
            </w:r>
          </w:p>
        </w:tc>
        <w:tc>
          <w:tcPr>
            <w:tcW w:type="dxa" w:w="5045"/>
          </w:tcPr>
          <w:p>
            <w:r>
              <w:t>Actualizó origen al PRD v0.3 y corrigió trazas RF-06; la revisión v0.3 aclara que S-0.1 es simulado, no evidencia de entrevistas.</w:t>
            </w:r>
          </w:p>
        </w:tc>
      </w:tr>
      <w:tr>
        <w:tc>
          <w:tcPr>
            <w:tcW w:type="dxa" w:w="1244"/>
          </w:tcPr>
          <w:p>
            <w:r>
              <w:t>0.3</w:t>
            </w:r>
          </w:p>
        </w:tc>
        <w:tc>
          <w:tcPr>
            <w:tcW w:type="dxa" w:w="1428"/>
          </w:tcPr>
          <w:p>
            <w:r>
              <w:t>17 de octubre de 2026</w:t>
            </w:r>
          </w:p>
        </w:tc>
        <w:tc>
          <w:tcPr>
            <w:tcW w:type="dxa" w:w="1643"/>
          </w:tcPr>
          <w:p>
            <w:r>
              <w:t>Edwin Carabalí</w:t>
            </w:r>
          </w:p>
        </w:tc>
        <w:tc>
          <w:tcPr>
            <w:tcW w:type="dxa" w:w="5045"/>
          </w:tcPr>
          <w:p>
            <w:r>
              <w:t>Aclaración explícita de S-0.1 como escenario simulado; se registran la validación de producto, el spike de compatibilidad ADR-0001 y el port a TypeScript/NestJS como pendientes.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59"/>
        <w:gridCol w:w="2884"/>
        <w:gridCol w:w="2159"/>
        <w:gridCol w:w="2158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FrontS"/>
        <w:spacing w:after="80"/>
      </w:pPr>
      <w:r>
        <w:rPr>
          <w:rFonts w:ascii="Arial" w:cs="Arial" w:eastAsia="Arial" w:hAnsi="Arial"/>
        </w:rPr>
        <w:t xml:space="preserve">Distribución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Repositorio del proyecto, carpeta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rPr>
          <w:rFonts w:ascii="Arial" w:cs="Arial" w:eastAsia="Arial" w:hAnsi="Arial"/>
          <w:sz w:val="21"/>
          <w:szCs w:val="21"/>
        </w:rPr>
        <w:t xml:space="preserve">. Documento vivo: cada cambio sube la versión y se registra en el historial de revisiones.</w:t>
      </w:r>
    </w:p>
    <w:p>
      <w:r>
        <w:br w:type="page"/>
      </w:r>
    </w:p>
    <w:p>
      <w:pPr>
        <w:pStyle w:val="FrontH"/>
      </w:pPr>
      <w:r>
        <w:rPr>
          <w:rFonts w:ascii="Arial" w:cs="Arial" w:eastAsia="Arial" w:hAnsi="Arial"/>
        </w:rPr>
        <w:t xml:space="preserve">Tabla de contenido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1. Introducción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2. Descripción general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3. Requisitos funcionales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3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3.1 Cuentas y roles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>3.2 Captura y normalización</w:t>
        <w:tab/>
        <w:t>6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5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3.3 Confirmación y emparejamiento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>3.4 Libro diario</w:t>
        <w:tab/>
        <w:t>7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7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3.5 Auditoría y datos personales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8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4. Criterios de aceptación (requisitos clave)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9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5. Reglas de negocio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6. Requisitos no funcionales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7. Interfaces externas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9</w:t>
      </w:r>
    </w:p>
    <w:p>
      <w:pPr>
        <w:tabs>
          <w:tab w:val="right" w:pos="9360" w:leader="dot"/>
        </w:tabs>
        <w:spacing w:after="70" w:before="60"/>
        <w:ind w:left="0"/>
      </w:pPr>
      <w:r>
        <w:rPr>
          <w:rFonts w:ascii="Arial" w:cs="Arial" w:eastAsia="Arial" w:hAnsi="Arial"/>
          <w:sz w:val="20"/>
          <w:szCs w:val="20"/>
        </w:rPr>
        <w:t>8. Requisitos de datos (modelo conceptual)</w:t>
        <w:tab/>
        <w:t>10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9. Trazabilidad y verificación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10</w:t>
      </w:r>
    </w:p>
    <w:p>
      <w:pPr>
        <w:tabs>
          <w:tab w:val="right" w:pos="9360" w:leader="dot"/>
        </w:tabs>
        <w:spacing w:after="70" w:before="60"/>
        <w:ind w:left="0"/>
      </w:pPr>
      <w:r>
        <w:rPr>
          <w:rFonts w:ascii="Arial" w:cs="Arial" w:eastAsia="Arial" w:hAnsi="Arial"/>
          <w:sz w:val="20"/>
          <w:szCs w:val="20"/>
        </w:rPr>
        <w:t>10. Pendientes y preguntas abiertas</w:t>
        <w:tab/>
        <w:t>11</w:t>
      </w:r>
    </w:p>
    <w:p>
      <w:r>
        <w:br w:type="page"/>
      </w:r>
    </w:p>
    <w:p>
      <w:pPr>
        <w:pBdr>
          <w:left w:val="single" w:color="BF9000" w:sz="24" w:space="8"/>
        </w:pBdr>
        <w:shd w:fill="FFF2CC" w:color="auto" w:val="clear"/>
        <w:spacing w:after="160" w:before="80" w:line="276"/>
        <w:ind w:left="180" w:right="120"/>
      </w:pPr>
      <w:r>
        <w:rPr>
          <w:rFonts w:ascii="Arial" w:cs="Arial" w:eastAsia="Arial" w:hAnsi="Arial"/>
          <w:b/>
          <w:bCs/>
          <w:sz w:val="20"/>
          <w:szCs w:val="20"/>
        </w:rPr>
        <w:t>Origen de los datos: este SRS deriva del PRD v0.3. S-0.1 es un escenario simulado, no resultados de entrevistas realizadas. El escenario contiene cifras ficticias y no representa entrevistas ni preferencias reales. Se conserva como supuesto de trabajo para ejemplos y diseño técnico; la selección de segmento y alcance requiere evidencia de campo y aprobación antes de baselinar el MVP.</w:t>
      </w:r>
    </w:p>
    <w:p>
      <w:pPr>
        <w:pStyle w:val="Heading1"/>
        <w:keepNext/>
        <w:keepLines/>
      </w:pPr>
      <w:bookmarkStart w:name="bm0" w:id="1"/>
      <w:r>
        <w:rPr>
          <w:rFonts w:ascii="Arial" w:cs="Arial" w:eastAsia="Arial" w:hAnsi="Arial"/>
        </w:rPr>
        <w:t xml:space="preserve">1. Introducción</w:t>
      </w:r>
      <w:bookmarkEnd w:id="1"/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 Propósito.</w:t>
      </w:r>
      <w:r>
        <w:rPr>
          <w:rFonts w:ascii="Arial" w:cs="Arial" w:eastAsia="Arial" w:hAnsi="Arial"/>
          <w:sz w:val="21"/>
          <w:szCs w:val="21"/>
        </w:rPr>
        <w:t xml:space="preserve"> Este documento define qué debe hacer Confirma y con qué calidad, de forma que cada requisito sea numerado, verificable y trazable al PRD.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 Alcance.</w:t>
      </w:r>
      <w:r>
        <w:rPr>
          <w:rFonts w:ascii="Arial" w:cs="Arial" w:eastAsia="Arial" w:hAnsi="Arial"/>
          <w:sz w:val="21"/>
          <w:szCs w:val="21"/>
        </w:rPr>
        <w:t xml:space="preserve"> Confirma permite que un negocio pequeño con empleados confirme pagos digitales recibidos y lleve un libro diario unificado de varios emisores.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custodia ni mueve dinero,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reemplaza facturación ni punto de venta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usa integraciones oficiales con bancos.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1.3 Definiciones.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752"/>
        <w:gridCol w:w="7608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Emisor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o billetera que genera la notificación de un pago (por ejemplo Nequi, Daviplata o un banco)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que un emisor envía al titular al recibir un pago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Parser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que extrae datos normalizados de una notificación de un emisor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esperado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que el cajero registra antes de que llegue el pago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Emparejamiento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Asociación entre un cobro esperado y un pago recibido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Ventana de emparejamiento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máximo entre el cobro esperado y el pago para emparejarlos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Huella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calculado a partir de un mensaje para detectar duplicados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</w:rPr>
        <w:t>1.4 Referencias. PRD v0.3; Guía de entrevistas v0.1; Informe de hallazgos S-0.1 (escenario simulado; no resultados de entrevistas realizadas); ISO/IEC/IEEE 29148:2018 (2.ª ed.); Ley 1581 de 2012.</w:t>
      </w:r>
    </w:p>
    <w:p>
      <w:pPr>
        <w:spacing w:after="120" w:line="276"/>
      </w:pPr>
      <w:r>
        <w:rPr>
          <w:b/>
        </w:rPr>
        <w:t>1.5 Convenciones. Debe = obligatorio; debería = recomendable; podrá = capacidad opcional, no incluida necesariamente en el MVP. Prioridad: Alta, Media o Baja. Identificadores: SRS-F-xx (funcional), SRS-NFR-xx (no funcional), SRS-RN-xx (regla de negocio). [HIP] identifica hipótesis o metas provisionales. S-0.1 es un escenario simulado, no resultados de entrevistas realizadas. Los supuestos no equivalen a evidencia de usuario. Los pendientes se marcan TBD-n y se listan en la sección 10.</w:t>
      </w:r>
    </w:p>
    <w:p>
      <w:pPr>
        <w:pStyle w:val="Heading1"/>
        <w:keepNext/>
        <w:keepLines/>
      </w:pPr>
      <w:bookmarkStart w:name="bm1" w:id="2"/>
      <w:r>
        <w:rPr>
          <w:rFonts w:ascii="Arial" w:cs="Arial" w:eastAsia="Arial" w:hAnsi="Arial"/>
        </w:rPr>
        <w:t xml:space="preserve">2. Descripción general</w:t>
      </w:r>
      <w:bookmarkEnd w:id="2"/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Perspectiva.</w:t>
      </w:r>
      <w:r>
        <w:rPr>
          <w:rFonts w:ascii="Arial" w:cs="Arial" w:eastAsia="Arial" w:hAnsi="Arial"/>
          <w:sz w:val="21"/>
          <w:szCs w:val="21"/>
        </w:rPr>
        <w:t xml:space="preserve"> Servicio web independiente que recibe notificaciones de pago por una vía que el usuario controla, las normaliza y las presenta en tiempo real al cajero y al dueño.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Funciones principales.</w:t>
      </w:r>
      <w:r>
        <w:rPr>
          <w:rFonts w:ascii="Arial" w:cs="Arial" w:eastAsia="Arial" w:hAnsi="Arial"/>
          <w:sz w:val="21"/>
          <w:szCs w:val="21"/>
        </w:rPr>
        <w:t xml:space="preserve"> Gestión de cuentas y roles, captura y normalización de notificaciones, confirmación en tiempo real, emparejamiento con cobros esperados, libro diario unificado, auditoría.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2631"/>
        <w:gridCol w:w="5625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 principales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Titular del negocio en el sistema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lo de su negocio: cajeros, configuración de captura, libro, resolución de dudosos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Cajero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recibe pagos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pagos recibidos de su negocio y registrar cobros esperados; sin acceso a configuración ni a credenciales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técnico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Quien despliega y opera el servicio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sistema, sin acceso al contenido de los pagos de los negocios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>2.4 Restricciones. Un solo desarrollador; sin API oficial de bancos; dependencia de formatos de mensaje que pueden cambiar; datos financieros sensibles; versiones de dependencias fijadas en el ADR-0001. El stack objetivo es NestJS con TypeScript; la compatibilidad de versiones de Node.js, TypeScript, NestJS y dependencias debe verificarse en el spike pendiente asociado a ADR-0001. La vertical slice actual está implementada en Python como especificación ejecutable, no como código de producción; su port a TypeScript está pendiente.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2.5 Supuestos.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A1 [HIP]:</w:t>
      </w:r>
      <w:r>
        <w:rPr>
          <w:rFonts w:ascii="Arial" w:cs="Arial" w:eastAsia="Arial" w:hAnsi="Arial"/>
          <w:sz w:val="21"/>
          <w:szCs w:val="21"/>
        </w:rPr>
        <w:t xml:space="preserve"> las notificaciones de los emisores objetivo traen monto, fecha y algún identificador suficiente para confirmar un pago.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A2 [HIP]:</w:t>
      </w:r>
      <w:r>
        <w:rPr>
          <w:rFonts w:ascii="Arial" w:cs="Arial" w:eastAsia="Arial" w:hAnsi="Arial"/>
          <w:sz w:val="21"/>
          <w:szCs w:val="21"/>
        </w:rPr>
        <w:t xml:space="preserve"> el usuario acepta una vía de captura que él controle (ver TBD-1).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A3:</w:t>
      </w:r>
      <w:r>
        <w:rPr>
          <w:rFonts w:ascii="Arial" w:cs="Arial" w:eastAsia="Arial" w:hAnsi="Arial"/>
          <w:sz w:val="21"/>
          <w:szCs w:val="21"/>
        </w:rPr>
        <w:t xml:space="preserve"> se dispone de muestras reales y anonimizadas de notificaciones para construir y probar los parsers.</w:t>
      </w:r>
    </w:p>
    <w:p>
      <w:pPr>
        <w:spacing w:after="60"/>
      </w:pPr>
    </w:p>
    <w:p>
      <w:pPr>
        <w:pStyle w:val="Heading1"/>
        <w:keepNext/>
        <w:keepLines/>
      </w:pPr>
      <w:bookmarkStart w:name="bm2" w:id="3"/>
      <w:r>
        <w:rPr>
          <w:rFonts w:ascii="Arial" w:cs="Arial" w:eastAsia="Arial" w:hAnsi="Arial"/>
        </w:rPr>
        <w:t xml:space="preserve">3. Requisitos funcionales</w:t>
      </w:r>
      <w:bookmarkEnd w:id="3"/>
    </w:p>
    <w:p>
      <w:pPr>
        <w:pStyle w:val="Heading2"/>
        <w:keepNext/>
        <w:keepLines/>
      </w:pPr>
      <w:bookmarkStart w:name="bm3" w:id="4"/>
      <w:r>
        <w:rPr>
          <w:rFonts w:ascii="Arial" w:cs="Arial" w:eastAsia="Arial" w:hAnsi="Arial"/>
        </w:rPr>
        <w:t xml:space="preserve">3.1 Cuentas y roles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088"/>
        <w:gridCol w:w="1212"/>
        <w:gridCol w:w="956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permitir registrar un negocio y su cuenta de dueño.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PRD §7.1: registro (derivado)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SRS-F-02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autenticar a los usuarios y cerrar las sesiones inactivas tras un tiempo configurable.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PRD §7.1: autenticación (derivado)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SRS-F-03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crear, listar y revocar cuentas de cajero.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SRS-F-04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cajero debe tener permisos limitados a ver pagos de su negocio y registrar cobros esperados.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aislar completamente los datos de cada negocio (multi-tenant).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RF-06, RNF-01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4" w:id="5"/>
      <w:r>
        <w:rPr>
          <w:rFonts w:ascii="Arial" w:cs="Arial" w:eastAsia="Arial" w:hAnsi="Arial"/>
        </w:rPr>
        <w:t xml:space="preserve">3.2 Captura y normalización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recibir notificaciones de pago por la vía definida en TBD-1.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identificar el emisor de cada mensaje y asignarlo al parser correspondiente.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SRS-F-12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extraer y normalizar monto en COP, fecha y hora, emisor, referencia y tipo de operación.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SRS-F-13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calcular una huella por mensaje y no procesar dos veces el mismo mensaje.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SRS-F-14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conservar los mensajes que ningún parser reconozca y avisar al dueño, sin descartarlos en silencio.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RF-01; RK2 (derivado)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SRS-F-15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debería mostrar al dueño el estado de la captura (última notificación recibida y errores recientes).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RK2; RK3 (derivado)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5" w:id="6"/>
      <w:r>
        <w:rPr>
          <w:rFonts w:ascii="Arial" w:cs="Arial" w:eastAsia="Arial" w:hAnsi="Arial"/>
        </w:rPr>
        <w:t xml:space="preserve">3.3 Confirmación y emparejamiento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ver en tiempo real los pagos recibidos de su negocio.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poder registrar un cobro esperado con monto y referencia opcional.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SRS-F-22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emparejar automáticamente un cobro esperado con un pago recibido dentro de la ventana de emparejamiento (SRS-RN-03).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SRS-F-23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cobro debe tener un estado: Pendiente, Confirmado, Dudoso o Vencido.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SRS-F-24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marcar como Dudoso un pago cuyo monto o referencia no coincide con el cobro esperado, o que llega fuera de la ventana.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SRS-F-25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resolver manualmente un cobro Dudoso, dejando constancia en la auditoría.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RF-08, RNF-04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6" w:id="7"/>
      <w:r>
        <w:rPr>
          <w:rFonts w:ascii="Arial" w:cs="Arial" w:eastAsia="Arial" w:hAnsi="Arial"/>
        </w:rPr>
        <w:t xml:space="preserve">3.4 Libro diario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5942"/>
        <w:gridCol w:w="1212"/>
        <w:gridCol w:w="1102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SRS-F-30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mantener un libro diario por negocio y fecha con los pagos de todos los emisores.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SRS-F-31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debería generar el cierre del día con totales por emisor y por cajero y las diferencias frente a los cobros esperados.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SRS-F-32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podrá exportar el cierre en CSV.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 (después del MVP)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PRD, después del MVP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7" w:id="8"/>
      <w:r>
        <w:rPr>
          <w:rFonts w:ascii="Arial" w:cs="Arial" w:eastAsia="Arial" w:hAnsi="Arial"/>
        </w:rPr>
        <w:t xml:space="preserve">3.5 Auditoría y datos personales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registrar en auditoría las altas y bajas de cajeros, las resoluciones manuales, los cambios de configuración de captura y los inicios de sesión fallidos.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solicitar la eliminación de sus datos y los de su equipo, conforme a la política de retención (TBD-4).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8" w:id="9"/>
      <w:r>
        <w:rPr>
          <w:rFonts w:ascii="Arial" w:cs="Arial" w:eastAsia="Arial" w:hAnsi="Arial"/>
        </w:rPr>
        <w:t xml:space="preserve">4. Criterios de aceptación (requisitos clave)</w:t>
      </w:r>
      <w:bookmarkEnd w:id="9"/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# language: es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Idempotencia de la ingesta (SRS-F-13)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El mismo mensaje llega dos veces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que se procesó el mensaje M con huella H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el sistema recibe de nuevo el mensaje M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no se crea un segundo pago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el libro diario mantiene un solo registro de ese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Aislamiento entre negocios (SRS-F-05)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Un cajero consulta otro negocio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cajero del negocio 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solicita los pagos del negocio B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el sistema le niega el acceso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no revela si el negocio B existe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Emparejamiento (SRS-F-22)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Cobro emparejado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cobro esperado de 25000 COP creado hace 2 minutos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llega un pago de 25000 COP con referencia coincidente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el cobro pasa a Confirmado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el cajero lo ve en menos de 10 segundos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Pago dudoso (SRS-F-24)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Monto distinto al esperado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cobro esperado de 25000 COP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llega un pago de 2500 COP dentro de la ventana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el pago queda Dudoso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el cobro sigue Pendiente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Mensaje no reconocido (SRS-F-14)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Formato que ningún parser reconoce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mensaje cuyo formato ningún parser reconoce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el sistema lo recibe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lo guarda como no reconocido y avisa al dueño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no crea ningún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Revocación de cajero (SRS-F-03)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El dueño revoca a un cajero con sesión activa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cajero con sesión activa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el dueño revoca su cuenta</w:t>
      </w:r>
    </w:p>
    <w:p>
      <w:pPr>
        <w:keepNext w:val="0"/>
        <w:keepLines/>
        <w:shd w:fill="F2F2F2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las siguientes solicitudes del cajero son rechazadas</w:t>
      </w:r>
    </w:p>
    <w:p>
      <w:pPr>
        <w:pStyle w:val="Heading1"/>
        <w:keepNext/>
        <w:keepLines/>
      </w:pPr>
      <w:bookmarkStart w:name="bm9" w:id="10"/>
      <w:r>
        <w:rPr>
          <w:rFonts w:ascii="Arial" w:cs="Arial" w:eastAsia="Arial" w:hAnsi="Arial"/>
        </w:rPr>
        <w:t xml:space="preserve">5. Reglas de negocio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12"/>
        <w:gridCol w:w="8148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SRS-RN-01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pago pertenece a un único negocio.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SRS-RN-02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cobro esperado se empareja con un solo pago y un pago con un solo cobro.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SRS-RN-03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ventana de emparejamiento es de 10 minutos por defecto y configurable por negocio [HIP, TBD-3].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SRS-RN-04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pago confirmado no se modifica; cualquier corrección genera un nuevo evento de auditoría.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SRS-RN-05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cajero nunca ve credenciales ni la configuración de captura.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SRS-RN-06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cierre del día usa la zona horaria America/Bogota.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0" w:id="11"/>
      <w:r>
        <w:rPr>
          <w:rFonts w:ascii="Arial" w:cs="Arial" w:eastAsia="Arial" w:hAnsi="Arial"/>
        </w:rPr>
        <w:t xml:space="preserve">6. Requisitos no funcionales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320"/>
        <w:gridCol w:w="1752"/>
        <w:gridCol w:w="5076"/>
        <w:gridCol w:w="1212"/>
      </w:tblGrid>
      <w:tr>
        <w:trPr>
          <w:cantSplit/>
          <w:tblHeader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SRS-NFR-01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Desempeño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95 % de las notificaciones aparece al cajero en menos de 10 s desde su recepción.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MVP soporta 20 negocios y 50 notificaciones por minuto en total sin degradar SRS-NFR-01 [por validar].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SRS-NFR-03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 de 99,5 % mensual en el piloto (objetivo, no compromiso contractual).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SRS-NFR-04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procesamiento usa reintentos con espera creciente; ninguna notificación aceptada se pierde ni se duplica ante la caída de un componente.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SRS-NFR-05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Requisitos alineados con OWASP ASVS nivel 2 (subconjunto aplicable); contraseñas con Argon2id; TLS en todo el tráfico; secretos fuera del repositorio.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SRS-NFR-06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Aislamiento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automáticas verifican que ningún negocio accede a datos de otro.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SRS-NFR-07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almacena solo lo necesario del mensaje; contenido original cifrado en reposo; retención definida (TBD-4); cumplimiento de la Ley 1581 de 2012 (autorización, política de tratamiento y derechos del titular).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SRS-NFR-08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Abuso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Limitación de tasa en la API y en la recepción de mensajes.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SRS-NFR-09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parser es un módulo independiente con pruebas propias y cobertura mínima de 80 %.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SRS-NFR-10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confirma un cobro con máximo 3 interacciones; interfaz en español y usable en pantalla de celular.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SRS-NFR-11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Logs estructurados sin datos sensibles, identificador de correlación, endpoints de salud y métricas básicas.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reproducible en contenedores con versiones fijadas según el ADR-0001.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SRS-NFR-13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asume que, al no custodiar ni mover dinero, el servicio queda fuera de la regulación de pagos; validar con asesoría legal antes del piloto [supuesto].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1" w:id="12"/>
      <w:r>
        <w:rPr>
          <w:rFonts w:ascii="Arial" w:cs="Arial" w:eastAsia="Arial" w:hAnsi="Arial"/>
        </w:rPr>
        <w:t xml:space="preserve">7. Interfaces externas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096"/>
        <w:gridCol w:w="7264"/>
      </w:tblGrid>
      <w:tr>
        <w:trPr>
          <w:cantSplit/>
          <w:tblHeader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Interfaz de usuario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Aplicación web adaptable a celular para cajero y dueño, en español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REST con contrato primero en OpenAPI 3.1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de actualización en vivo hacia la pantalla del cajero (tecnología a decidir en ADR)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 de notificaciones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Vía de captura pendiente de decisión (TBD-1)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al dueño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por definir (TBD-5)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2" w:id="13"/>
      <w:r>
        <w:rPr>
          <w:rFonts w:ascii="Arial" w:cs="Arial" w:eastAsia="Arial" w:hAnsi="Arial"/>
        </w:rPr>
        <w:t xml:space="preserve">8. Requisitos de datos (modelo conceptual)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752"/>
        <w:gridCol w:w="5639"/>
        <w:gridCol w:w="1969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nombre, zona horaria, estado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 de aislamiento (tenant)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rol, estado, credencial (hash)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Rol: dueño o cajero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cruda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huella, origen, contenido cifrado, recibida en, estado de lectura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para reprocesar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emisor, monto, fecha y hora, referencia, tipo, notificación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Inmutable (SRS-RN-04)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esperado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cajero, monto, referencia, creado en, vence, estado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Estados de SRS-F-23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Emparejamiento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cobro, pago, método (automático o manual), fecha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Uno a uno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 de auditoría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actor, acción, entidad, fecha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se agrega, no se edita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Cierre diario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negocio, fecha, totales por emisor y cajero, diferencias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Calculado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3" w:id="14"/>
      <w:r>
        <w:rPr>
          <w:rFonts w:ascii="Arial" w:cs="Arial" w:eastAsia="Arial" w:hAnsi="Arial"/>
        </w:rPr>
        <w:t xml:space="preserve">9. Trazabilidad y verificación</w:t>
      </w:r>
      <w:bookmarkEnd w:id="14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Métodos: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</w:t>
      </w:r>
      <w:r>
        <w:rPr>
          <w:rFonts w:ascii="Arial" w:cs="Arial" w:eastAsia="Arial" w:hAnsi="Arial"/>
          <w:sz w:val="21"/>
          <w:szCs w:val="21"/>
        </w:rPr>
        <w:t xml:space="preserve"> prueba automatizada,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</w:t>
      </w:r>
      <w:r>
        <w:rPr>
          <w:rFonts w:ascii="Arial" w:cs="Arial" w:eastAsia="Arial" w:hAnsi="Arial"/>
          <w:sz w:val="21"/>
          <w:szCs w:val="21"/>
        </w:rPr>
        <w:t xml:space="preserve"> inspección,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</w:t>
      </w:r>
      <w:r>
        <w:rPr>
          <w:rFonts w:ascii="Arial" w:cs="Arial" w:eastAsia="Arial" w:hAnsi="Arial"/>
          <w:sz w:val="21"/>
          <w:szCs w:val="21"/>
        </w:rPr>
        <w:t xml:space="preserve"> análisis,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</w:t>
      </w:r>
      <w:r>
        <w:rPr>
          <w:rFonts w:ascii="Arial" w:cs="Arial" w:eastAsia="Arial" w:hAnsi="Arial"/>
          <w:sz w:val="21"/>
          <w:szCs w:val="21"/>
        </w:rPr>
        <w:t xml:space="preserve"> demostración.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521"/>
        <w:gridCol w:w="3517"/>
        <w:gridCol w:w="4322"/>
      </w:tblGrid>
      <w:tr>
        <w:trPr>
          <w:cantSplit/>
          <w:tblHeader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 SRS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SRS-F-10, F-11, F-12, F-14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(parsers con muestras reales), 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SRS-F-13, SRS-NFR-04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(reintentos y duplicados)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SRS-F-20, F-23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(extremo a extremo)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SRS-F-21, F-22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SRS-F-30, F-31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(integración), I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SRS-F-05, SRS-NFR-06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(aislamiento)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SRS-F-03, F-04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(extremo a extremo)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SRS-F-24, F-25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PRD §7.1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SRS-F-01, SRS-F-02 (requisitos derivados; sin RF propio)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I (revisión de alcance), T (registro y autenticación)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RK2, RK3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SRS-F-14, SRS-F-15 (derivados)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T (no reconocido/estado de captura)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SRS-NFR-06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SRS-NFR-07, SRS-F-41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(revisión de diseño), T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(fallos simulados)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SRS-F-40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Métricas del PRD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SRS-NFR-01, NFR-02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(pruebas de carga), D (piloto)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4" w:id="15"/>
      <w:r>
        <w:rPr>
          <w:rFonts w:ascii="Arial" w:cs="Arial" w:eastAsia="Arial" w:hAnsi="Arial"/>
        </w:rPr>
        <w:t xml:space="preserve">10. Pendientes y preguntas abiertas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44"/>
        <w:gridCol w:w="4744"/>
        <w:gridCol w:w="3672"/>
      </w:tblGrid>
      <w:tr>
        <w:trPr>
          <w:cantSplit/>
          <w:tblHeader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resuelve con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TBD-1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Vía de captura de notificaciones (Q1 del PRD)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Spike técnico y ADR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TBD-2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Emisores incluidos en el MVP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>Validar uso/prioridad con investigación real y obtener muestras autorizadas/anonimizadas antes de integración real; S-0.1 no es evidencia de preferencias.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TBD-3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Valor y configurabilidad de la ventana de emparejamiento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Flujo real de cobro del piloto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TBD-4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Política de retención y eliminación de datos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Modelo de amenazas y asesoría legal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TBD-5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Canal de alertas al dueño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ADR de notificaciones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TBD-6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Validación legal del supuesto SRS-NFR-13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Asesoría legal antes del piloto</w:t>
            </w:r>
          </w:p>
        </w:tc>
      </w:tr>
      <w:tr>
        <w:tc>
          <w:tcPr>
            <w:tcW w:type="dxa" w:w="944"/>
          </w:tcPr>
          <w:p>
            <w:r>
              <w:t>TBD-7</w:t>
            </w:r>
          </w:p>
        </w:tc>
        <w:tc>
          <w:tcPr>
            <w:tcW w:type="dxa" w:w="4744"/>
          </w:tcPr>
          <w:p>
            <w:r>
              <w:t>Validación real de segmento, problema y alcance del MVP (S-0.1 es simulado)</w:t>
            </w:r>
          </w:p>
        </w:tc>
        <w:tc>
          <w:tcPr>
            <w:tcW w:type="dxa" w:w="3672"/>
          </w:tcPr>
          <w:p>
            <w:r>
              <w:t>Entrevistas reales con perfiles definidos; síntesis de evidencia y aprobación del PRD antes de baselinar producto/piloto.</w:t>
            </w:r>
          </w:p>
        </w:tc>
      </w:tr>
      <w:tr>
        <w:tc>
          <w:tcPr>
            <w:tcW w:type="dxa" w:w="944"/>
          </w:tcPr>
          <w:p>
            <w:r>
              <w:t>TBD-8</w:t>
            </w:r>
          </w:p>
        </w:tc>
        <w:tc>
          <w:tcPr>
            <w:tcW w:type="dxa" w:w="4744"/>
          </w:tcPr>
          <w:p>
            <w:r>
              <w:t>Compatibilidad del stack NestJS/TypeScript/Node.js para ADR-0001</w:t>
            </w:r>
          </w:p>
        </w:tc>
        <w:tc>
          <w:tcPr>
            <w:tcW w:type="dxa" w:w="3672"/>
          </w:tcPr>
          <w:p>
            <w:r>
              <w:t>Spike separado de versiones, dependencias, toolchain y CI; ST-01 no cubre esta compatibilidad.</w:t>
            </w:r>
          </w:p>
        </w:tc>
      </w:tr>
      <w:tr>
        <w:tc>
          <w:tcPr>
            <w:tcW w:type="dxa" w:w="944"/>
          </w:tcPr>
          <w:p>
            <w:r>
              <w:t>TBD-9</w:t>
            </w:r>
          </w:p>
        </w:tc>
        <w:tc>
          <w:tcPr>
            <w:tcW w:type="dxa" w:w="4744"/>
          </w:tcPr>
          <w:p>
            <w:r>
              <w:t>Port de la vertical slice Python al stack objetivo</w:t>
            </w:r>
          </w:p>
        </w:tc>
        <w:tc>
          <w:tcPr>
            <w:tcW w:type="dxa" w:w="3672"/>
          </w:tcPr>
          <w:p>
            <w:r>
              <w:t>Traducir contrato, reglas y pruebas a TypeScript/NestJS; mantener fixtures sintéticos y no usar Python como backend de producción.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Uso interno · Borrador de trabajo</w:t>
    </w:r>
    <w:r>
      <w:rPr>
        <w:rFonts w:ascii="Arial" w:cs="Arial" w:eastAsia="Arial" w:hAnsi="Arial"/>
        <w:color w:val="595959"/>
        <w:sz w:val="16"/>
        <w:szCs w:val="16"/>
      </w:rPr>
      <w:tab/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595959"/>
        <w:sz w:val="16"/>
        <w:szCs w:val="16"/>
      </w:rPr>
      <w:t>Confirma — SRS</w:t>
      <w:tab/>
      <w:t>CNF-SRS-001  ·  v0.3</w:t>
    </w:r>
  </w:p>
  <w:p>
    <w:r>
      <w:rPr>
        <w:rFonts w:ascii="Arial" w:hAnsi="Arial"/>
        <w:b/>
        <w:color w:val="A02D23"/>
        <w:sz w:val="14"/>
      </w:rPr>
      <w:t>S-0.1 es un escenario simulado, no resultados de entrevistas realizadas.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rPr>
        <w:rFonts w:ascii="Arial" w:hAnsi="Arial"/>
        <w:b/>
        <w:color w:val="A02D23"/>
        <w:sz w:val="14"/>
      </w:rPr>
      <w:t>S-0.1 es un escenario simulado, no resultados de entrevistas realizadas.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rPr>
        <w:rFonts w:ascii="Arial" w:hAnsi="Arial"/>
        <w:b/>
        <w:color w:val="A02D23"/>
        <w:sz w:val="14"/>
      </w:rPr>
      <w:t>S-0.1 es un escenario simulado, no resultados de entrevistas realizadas.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3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FrontH">
    <w:name w:val="Front Heading"/>
    <w:basedOn w:val="Normal"/>
    <w:next w:val="Normal"/>
    <w:pPr>
      <w:keepNext/>
      <w:pBdr>
        <w:bottom w:val="single" w:color="2F5496" w:sz="6" w:space="3"/>
      </w:pBdr>
      <w:spacing w:after="160" w:before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FrontS">
    <w:name w:val="Front Sub"/>
    <w:basedOn w:val="Normal"/>
    <w:next w:val="Normal"/>
    <w:pPr>
      <w:keepNext/>
      <w:spacing w:after="100" w:before="220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(SRS) — Confirma v0.3</dc:title>
  <dc:creator>Edwin Carabalí</dc:creator>
  <dc:description>Revisión metodológica: S-0.1 no son entrevistas; datos ficticios como supuesto de trabajo. ADR-0001 de compatibilidad y port a TypeScript/NestJS pendientes.</dc:description>
  <cp:lastModifiedBy>Un-named</cp:lastModifiedBy>
  <cp:revision>1</cp:revision>
  <dcterms:created xsi:type="dcterms:W3CDTF">2026-10-12T01:03:21.200Z</dcterms:created>
  <dcterms:modified xsi:type="dcterms:W3CDTF">2026-10-12T01:03:21.200Z</dcterms:modified>
  <dc:subject>SRS v0.3 trazado al PRD v0.3; S-0.1 identificado como escenario simulado; revisión de pendientes de implementación y validación</dc:subject>
  <cp:keywords>Confirma, SRS, PRD v0.3, escenario simulado, requisitos, trazabilidad, idempotencia, NestJS, TypeScript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