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CONFIRMA  ·  PROYECTO DE SOFTWARE</w:t>
      </w:r>
    </w:p>
    <w:p>
      <w:pPr>
        <w:spacing w:after="160" w:before="12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Especificación de requisitos de software (SRS)</w:t>
      </w:r>
    </w:p>
    <w:p>
      <w:pPr>
        <w:pBdr>
          <w:bottom w:val="single" w:color="2F5496" w:sz="18" w:space="10"/>
        </w:pBdr>
        <w:spacing w:after="28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Fase 0 — Requisitos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 (nombre provisional)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Código del documento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CNF-SRS-001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Edwin Carabalí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Borrador (basado en el PRD v0.2)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 alineada con ISO/IEC/IEEE 29148</w:t>
            </w:r>
          </w:p>
        </w:tc>
      </w:tr>
    </w:tbl>
    <w:p>
      <w:pPr>
        <w:sectPr>
          <w:pgSz w:w="12240" w:h="15840" w:orient="portrait"/>
          <w:pgMar w:top="1440" w:right="1440" w:bottom="1300" w:left="1440" w:header="600" w:footer="600" w:gutter="0"/>
          <w:pgNumType/>
          <w:docGrid w:linePitch="360"/>
        </w:sectPr>
      </w:pPr>
    </w:p>
    <w:p>
      <w:pPr>
        <w:pStyle w:val="FrontH"/>
      </w:pPr>
      <w:r>
        <w:rPr>
          <w:rFonts w:ascii="Arial" w:cs="Arial" w:eastAsia="Arial" w:hAnsi="Arial"/>
        </w:rPr>
        <w:t xml:space="preserve">Control del documento</w:t>
      </w:r>
    </w:p>
    <w:p>
      <w:pPr>
        <w:pStyle w:val="FrontS"/>
      </w:pPr>
      <w:r>
        <w:rPr>
          <w:rFonts w:ascii="Arial" w:cs="Arial" w:eastAsia="Arial" w:hAnsi="Arial"/>
        </w:rPr>
        <w:t xml:space="preserve">Información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Código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CNF-SRS-001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Título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Especificación de requisitos de software (SRS)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Confirma (nombre provisional)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Versión vigente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Borrador (basado en el PRD v0.2)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Interno — borrador de trabajo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Referencia normativa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Estructura alineada con ISO/IEC/IEEE 29148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Idioma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Español (Colombia)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4"/>
        <w:gridCol w:w="1428"/>
        <w:gridCol w:w="1643"/>
        <w:gridCol w:w="5045"/>
      </w:tblGrid>
      <w:tr>
        <w:trPr>
          <w:cantSplit/>
          <w:tblHeader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2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4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5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Primer borrador derivado del PRD v0.2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9"/>
        <w:gridCol w:w="2884"/>
        <w:gridCol w:w="2159"/>
        <w:gridCol w:w="2158"/>
      </w:tblGrid>
      <w:tr>
        <w:trPr>
          <w:cantSplit/>
          <w:tblHeader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Edwin Carabalí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11-oct-2026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Aprobó</w:t>
            </w:r>
          </w:p>
        </w:tc>
        <w:tc>
          <w:tcPr>
            <w:tcW w:type="dxa" w:w="2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Pendiente</w:t>
            </w:r>
          </w:p>
        </w:tc>
        <w:tc>
          <w:tcPr>
            <w:tcW w:type="dxa" w:w="2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FrontS"/>
      </w:pPr>
      <w:r>
        <w:rPr>
          <w:rFonts w:ascii="Arial" w:cs="Arial" w:eastAsia="Arial" w:hAnsi="Arial"/>
        </w:rPr>
        <w:t xml:space="preserve">Distribución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Repositorio del proyecto, carpeta 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rPr>
          <w:rFonts w:ascii="Arial" w:cs="Arial" w:eastAsia="Arial" w:hAnsi="Arial"/>
          <w:sz w:val="21"/>
          <w:szCs w:val="21"/>
        </w:rPr>
        <w:t xml:space="preserve">. Documento vivo: cada cambio sube la versión y se registra en el historial de revisiones.</w:t>
      </w:r>
    </w:p>
    <w:p>
      <w:r>
        <w:br w:type="page"/>
      </w:r>
    </w:p>
    <w:p>
      <w:pPr>
        <w:pStyle w:val="FrontH"/>
      </w:pPr>
      <w:r>
        <w:rPr>
          <w:rFonts w:ascii="Arial" w:cs="Arial" w:eastAsia="Arial" w:hAnsi="Arial"/>
        </w:rPr>
        <w:t xml:space="preserve">Tabla de contenido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0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1. Introducción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2. Descripción general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2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3. Requisitos funcionales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3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3.1 Cuentas y roles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4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3.2 Captura y normalización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5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3.3 Confirmación y emparejamiento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6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3.4 Libro diario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40" w:before="0"/>
        <w:ind w:left="360"/>
      </w:pPr>
      <w:hyperlink w:history="1" w:anchor="bm7">
        <w:r>
          <w:rPr>
            <w:rFonts w:ascii="Arial" w:cs="Arial" w:eastAsia="Arial" w:hAnsi="Arial"/>
            <w:b w:val="false"/>
            <w:bCs w:val="false"/>
            <w:sz w:val="19"/>
            <w:szCs w:val="19"/>
          </w:rPr>
          <w:t xml:space="preserve">3.5 Auditoría y datos personales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8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4. Criterios de aceptación (requisitos clave)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9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5. Reglas de negocio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0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6. Requisitos no funcionales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1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7. Interfaces externas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9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2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8. Requisitos de datos (modelo conceptual)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9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3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9. Trazabilidad y verificación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10</w:t>
      </w:r>
    </w:p>
    <w:p>
      <w:pPr>
        <w:tabs>
          <w:tab w:val="right" w:pos="9360" w:leader="dot"/>
        </w:tabs>
        <w:spacing w:after="70" w:before="60"/>
        <w:ind w:left="0"/>
      </w:pPr>
      <w:hyperlink w:history="1" w:anchor="bm14">
        <w:r>
          <w:rPr>
            <w:rFonts w:ascii="Arial" w:cs="Arial" w:eastAsia="Arial" w:hAnsi="Arial"/>
            <w:b/>
            <w:bCs/>
            <w:sz w:val="21"/>
            <w:szCs w:val="21"/>
          </w:rPr>
          <w:t xml:space="preserve">10. Pendientes y preguntas abiertas</w:t>
        </w:r>
      </w:hyperlink>
      <w:r>
        <w:rPr>
          <w:rFonts w:ascii="Arial" w:cs="Arial" w:eastAsia="Arial" w:hAnsi="Arial"/>
          <w:sz w:val="20"/>
          <w:szCs w:val="20"/>
        </w:rPr>
        <w:tab/>
        <w:t xml:space="preserve">10</w:t>
      </w:r>
    </w:p>
    <w:p>
      <w:r>
        <w:br w:type="page"/>
      </w:r>
    </w:p>
    <w:p>
      <w:pPr>
        <w:pBdr>
          <w:left w:val="single" w:color="BF9000" w:sz="24" w:space="8"/>
        </w:pBdr>
        <w:shd w:fill="FFF2CC" w:color="auto" w:val="clear"/>
        <w:spacing w:after="160" w:before="80" w:line="276"/>
        <w:ind w:left="180" w:righ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Origen de los datos:</w:t>
      </w:r>
      <w:r>
        <w:rPr>
          <w:rFonts w:ascii="Arial" w:cs="Arial" w:eastAsia="Arial" w:hAnsi="Arial"/>
          <w:sz w:val="20"/>
          <w:szCs w:val="20"/>
        </w:rPr>
        <w:t xml:space="preserve"> este SRS se apoya en el PRD v0.2, que a su vez usa el informe S-0.1 (escenario de trabajo, no evidencia de campo). Todo requisito marcado [HIP] o TBD se revisa cuando haya entrevistas reales.</w:t>
      </w:r>
    </w:p>
    <w:p>
      <w:pPr>
        <w:pStyle w:val="Heading1"/>
      </w:pPr>
      <w:bookmarkStart w:name="bm0" w:id="1"/>
      <w:r>
        <w:rPr>
          <w:rFonts w:ascii="Arial" w:cs="Arial" w:eastAsia="Arial" w:hAnsi="Arial"/>
        </w:rPr>
        <w:t xml:space="preserve">1. Introducción</w:t>
      </w:r>
      <w:bookmarkEnd w:id="1"/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1.1 Propósito.</w:t>
      </w:r>
      <w:r>
        <w:rPr>
          <w:rFonts w:ascii="Arial" w:cs="Arial" w:eastAsia="Arial" w:hAnsi="Arial"/>
          <w:sz w:val="21"/>
          <w:szCs w:val="21"/>
        </w:rPr>
        <w:t xml:space="preserve"> Este documento define qué debe hacer Confirma y con qué calidad, de forma que cada requisito sea numerado, verificable y trazable al PRD.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1.2 Alcance.</w:t>
      </w:r>
      <w:r>
        <w:rPr>
          <w:rFonts w:ascii="Arial" w:cs="Arial" w:eastAsia="Arial" w:hAnsi="Arial"/>
          <w:sz w:val="21"/>
          <w:szCs w:val="21"/>
        </w:rPr>
        <w:t xml:space="preserve"> Confirma permite que un negocio pequeño con empleados confirme pagos digitales recibidos y lleve un libro diario unificado de varios emisores.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custodia ni mueve dinero,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reemplaza facturación ni punto de venta 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 usa integraciones oficiales con bancos.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1.3 Definiciones.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7608"/>
      </w:tblGrid>
      <w:tr>
        <w:trPr>
          <w:cantSplit/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Emisor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o billetera que genera la notificación de un pago (por ejemplo Nequi, Daviplata o un banco)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Mensaje que un emisor envía al titular al recibir un pago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Parser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que extrae datos normalizados de una notificación de un emisor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esperado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que el cajero registra antes de que llegue el pago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Emparejamiento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Asociación entre un cobro esperado y un pago recibido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Ventana de emparejamiento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máximo entre el cobro esperado y el pago para emparejarlos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Huella</w:t>
            </w:r>
          </w:p>
        </w:tc>
        <w:tc>
          <w:tcPr>
            <w:tcW w:type="dxa" w:w="7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calculado a partir de un mensaje para detectar duplicados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1.4 Referencias.</w:t>
      </w:r>
      <w:r>
        <w:rPr>
          <w:rFonts w:ascii="Arial" w:cs="Arial" w:eastAsia="Arial" w:hAnsi="Arial"/>
          <w:sz w:val="21"/>
          <w:szCs w:val="21"/>
        </w:rPr>
        <w:t xml:space="preserve"> PRD v0.2; Guía de entrevistas v0.1; Informe de hallazgos S-0.1 (escenario simulado); ISO/IEC/IEEE 29148; Ley 1581 de 2012.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1.5 Convenciones.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Debe</w:t>
      </w:r>
      <w:r>
        <w:rPr>
          <w:rFonts w:ascii="Arial" w:cs="Arial" w:eastAsia="Arial" w:hAnsi="Arial"/>
          <w:sz w:val="21"/>
          <w:szCs w:val="21"/>
        </w:rPr>
        <w:t xml:space="preserve"> = obligatorio,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debería</w:t>
      </w:r>
      <w:r>
        <w:rPr>
          <w:rFonts w:ascii="Arial" w:cs="Arial" w:eastAsia="Arial" w:hAnsi="Arial"/>
          <w:sz w:val="21"/>
          <w:szCs w:val="21"/>
        </w:rPr>
        <w:t xml:space="preserve"> = recomendable. Prioridad: Alta, Media o Baja. Identificadores: </w:t>
      </w:r>
      <w:r>
        <w:rPr>
          <w:rFonts w:ascii="Consolas" w:cs="Consolas" w:eastAsia="Consolas" w:hAnsi="Consolas"/>
          <w:sz w:val="19"/>
          <w:szCs w:val="19"/>
        </w:rPr>
        <w:t xml:space="preserve">SRS-F-xx</w:t>
      </w:r>
      <w:r>
        <w:rPr>
          <w:rFonts w:ascii="Arial" w:cs="Arial" w:eastAsia="Arial" w:hAnsi="Arial"/>
          <w:sz w:val="21"/>
          <w:szCs w:val="21"/>
        </w:rPr>
        <w:t xml:space="preserve"> (funcional), </w:t>
      </w:r>
      <w:r>
        <w:rPr>
          <w:rFonts w:ascii="Consolas" w:cs="Consolas" w:eastAsia="Consolas" w:hAnsi="Consolas"/>
          <w:sz w:val="19"/>
          <w:szCs w:val="19"/>
        </w:rPr>
        <w:t xml:space="preserve">SRS-NFR-xx</w:t>
      </w:r>
      <w:r>
        <w:rPr>
          <w:rFonts w:ascii="Arial" w:cs="Arial" w:eastAsia="Arial" w:hAnsi="Arial"/>
          <w:sz w:val="21"/>
          <w:szCs w:val="21"/>
        </w:rPr>
        <w:t xml:space="preserve"> (no funcional), </w:t>
      </w:r>
      <w:r>
        <w:rPr>
          <w:rFonts w:ascii="Consolas" w:cs="Consolas" w:eastAsia="Consolas" w:hAnsi="Consolas"/>
          <w:sz w:val="19"/>
          <w:szCs w:val="19"/>
        </w:rPr>
        <w:t xml:space="preserve">SRS-RN-xx</w:t>
      </w:r>
      <w:r>
        <w:rPr>
          <w:rFonts w:ascii="Arial" w:cs="Arial" w:eastAsia="Arial" w:hAnsi="Arial"/>
          <w:sz w:val="21"/>
          <w:szCs w:val="21"/>
        </w:rPr>
        <w:t xml:space="preserve"> (regla de negocio). Los pendientes se marcan </w:t>
      </w:r>
      <w:r>
        <w:rPr>
          <w:rFonts w:ascii="Consolas" w:cs="Consolas" w:eastAsia="Consolas" w:hAnsi="Consolas"/>
          <w:sz w:val="19"/>
          <w:szCs w:val="19"/>
        </w:rPr>
        <w:t xml:space="preserve">TBD-n</w:t>
      </w:r>
      <w:r>
        <w:rPr>
          <w:rFonts w:ascii="Arial" w:cs="Arial" w:eastAsia="Arial" w:hAnsi="Arial"/>
          <w:sz w:val="21"/>
          <w:szCs w:val="21"/>
        </w:rPr>
        <w:t xml:space="preserve"> y se listan en la sección 10.</w:t>
      </w:r>
    </w:p>
    <w:p>
      <w:pPr>
        <w:pStyle w:val="Heading1"/>
      </w:pPr>
      <w:bookmarkStart w:name="bm1" w:id="2"/>
      <w:r>
        <w:rPr>
          <w:rFonts w:ascii="Arial" w:cs="Arial" w:eastAsia="Arial" w:hAnsi="Arial"/>
        </w:rPr>
        <w:t xml:space="preserve">2. Descripción general</w:t>
      </w:r>
      <w:bookmarkEnd w:id="2"/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 Perspectiva.</w:t>
      </w:r>
      <w:r>
        <w:rPr>
          <w:rFonts w:ascii="Arial" w:cs="Arial" w:eastAsia="Arial" w:hAnsi="Arial"/>
          <w:sz w:val="21"/>
          <w:szCs w:val="21"/>
        </w:rPr>
        <w:t xml:space="preserve"> Servicio web independiente que recibe notificaciones de pago por una vía que el usuario controla, las normaliza y las presenta en tiempo real al cajero y al dueño.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 Funciones principales.</w:t>
      </w:r>
      <w:r>
        <w:rPr>
          <w:rFonts w:ascii="Arial" w:cs="Arial" w:eastAsia="Arial" w:hAnsi="Arial"/>
          <w:sz w:val="21"/>
          <w:szCs w:val="21"/>
        </w:rPr>
        <w:t xml:space="preserve"> Gestión de cuentas y roles, captura y normalización de notificaciones, confirmación en tiempo real, emparejamiento con cobros esperados, libro diario unificado, auditoría.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2.3 Roles.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2631"/>
        <w:gridCol w:w="5625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Permisos principales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Dueño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Titular del negocio en el sistema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 lo de su negocio: cajeros, configuración de captura, libro, resolución de dudosos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Cajero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Empleado que recibe pagos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pagos recibidos de su negocio y registrar cobros esperados; sin acceso a configuración ni a credenciales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técnico</w:t>
            </w:r>
          </w:p>
        </w:tc>
        <w:tc>
          <w:tcPr>
            <w:tcW w:type="dxa" w:w="2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Quien despliega y opera el servicio</w:t>
            </w:r>
          </w:p>
        </w:tc>
        <w:tc>
          <w:tcPr>
            <w:tcW w:type="dxa" w:w="5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del sistema, sin acceso al contenido de los pagos de los negocios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2.4 Restricciones.</w:t>
      </w:r>
      <w:r>
        <w:rPr>
          <w:rFonts w:ascii="Arial" w:cs="Arial" w:eastAsia="Arial" w:hAnsi="Arial"/>
          <w:sz w:val="21"/>
          <w:szCs w:val="21"/>
        </w:rPr>
        <w:t xml:space="preserve"> Un solo desarrollador; sin API oficial de bancos; dependencia de formatos de mensaje que pueden cambiar; datos financieros sensibles; versiones de dependencias fijadas en el ADR-0001.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2.5 Supuestos.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A1 [HIP]:</w:t>
      </w:r>
      <w:r>
        <w:rPr>
          <w:rFonts w:ascii="Arial" w:cs="Arial" w:eastAsia="Arial" w:hAnsi="Arial"/>
          <w:sz w:val="21"/>
          <w:szCs w:val="21"/>
        </w:rPr>
        <w:t xml:space="preserve"> las notificaciones de los emisores objetivo traen monto, fecha y algún identificador suficiente para confirmar un pago.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A2 [HIP]:</w:t>
      </w:r>
      <w:r>
        <w:rPr>
          <w:rFonts w:ascii="Arial" w:cs="Arial" w:eastAsia="Arial" w:hAnsi="Arial"/>
          <w:sz w:val="21"/>
          <w:szCs w:val="21"/>
        </w:rPr>
        <w:t xml:space="preserve"> el usuario acepta una vía de captura que él controle (ver TBD-1).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A3:</w:t>
      </w:r>
      <w:r>
        <w:rPr>
          <w:rFonts w:ascii="Arial" w:cs="Arial" w:eastAsia="Arial" w:hAnsi="Arial"/>
          <w:sz w:val="21"/>
          <w:szCs w:val="21"/>
        </w:rPr>
        <w:t xml:space="preserve"> se dispone de muestras reales y anonimizadas de notificaciones para construir y probar los parsers.</w:t>
      </w:r>
    </w:p>
    <w:p>
      <w:pPr>
        <w:spacing w:after="60"/>
      </w:pPr>
    </w:p>
    <w:p>
      <w:pPr>
        <w:pStyle w:val="Heading1"/>
      </w:pPr>
      <w:bookmarkStart w:name="bm2" w:id="3"/>
      <w:r>
        <w:rPr>
          <w:rFonts w:ascii="Arial" w:cs="Arial" w:eastAsia="Arial" w:hAnsi="Arial"/>
        </w:rPr>
        <w:t xml:space="preserve">3. Requisitos funcionales</w:t>
      </w:r>
      <w:bookmarkEnd w:id="3"/>
    </w:p>
    <w:p>
      <w:pPr>
        <w:pStyle w:val="Heading2"/>
      </w:pPr>
      <w:bookmarkStart w:name="bm3" w:id="4"/>
      <w:r>
        <w:rPr>
          <w:rFonts w:ascii="Arial" w:cs="Arial" w:eastAsia="Arial" w:hAnsi="Arial"/>
        </w:rPr>
        <w:t xml:space="preserve">3.1 Cuentas y roles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6088"/>
        <w:gridCol w:w="1212"/>
        <w:gridCol w:w="956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SRS-F-01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permitir registrar un negocio y su cuenta de dueño.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SRS-F-02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autenticar a los usuarios y cerrar las sesiones inactivas tras un tiempo configurable.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RF-06, RNF-01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SRS-F-03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crear, listar y revocar cuentas de cajero.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SRS-F-04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cajero debe tener permisos limitados a ver pagos de su negocio y registrar cobros esperados.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SRS-F-05</w:t>
            </w:r>
          </w:p>
        </w:tc>
        <w:tc>
          <w:tcPr>
            <w:tcW w:type="dxa" w:w="60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aislar completamente los datos de cada negocio (multi-tenant).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RF-06, RNF-01</w:t>
            </w:r>
          </w:p>
        </w:tc>
      </w:tr>
    </w:tbl>
    <w:p>
      <w:pPr>
        <w:spacing w:after="160"/>
      </w:pPr>
    </w:p>
    <w:p>
      <w:pPr>
        <w:pStyle w:val="Heading2"/>
      </w:pPr>
      <w:bookmarkStart w:name="bm4" w:id="5"/>
      <w:r>
        <w:rPr>
          <w:rFonts w:ascii="Arial" w:cs="Arial" w:eastAsia="Arial" w:hAnsi="Arial"/>
        </w:rPr>
        <w:t xml:space="preserve">3.2 Captura y normalización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6156"/>
        <w:gridCol w:w="1212"/>
        <w:gridCol w:w="888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SRS-F-10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recibir notificaciones de pago por la vía definida en TBD-1.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SRS-F-11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identificar el emisor de cada mensaje y asignarlo al parser correspondiente.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SRS-F-12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extraer y normalizar monto en COP, fecha y hora, emisor, referencia y tipo de operación.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SRS-F-13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calcular una huella por mensaje y no procesar dos veces el mismo mensaje.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SRS-F-14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conservar los mensajes que ningún parser reconozca y avisar al dueño, sin descartarlos en silencio.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RK2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SRS-F-15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debería mostrar al dueño el estado de la captura (última notificación recibida y errores recientes).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RK2, RK3</w:t>
            </w:r>
          </w:p>
        </w:tc>
      </w:tr>
    </w:tbl>
    <w:p>
      <w:pPr>
        <w:spacing w:after="160"/>
      </w:pPr>
    </w:p>
    <w:p>
      <w:pPr>
        <w:pStyle w:val="Heading2"/>
      </w:pPr>
      <w:bookmarkStart w:name="bm5" w:id="6"/>
      <w:r>
        <w:rPr>
          <w:rFonts w:ascii="Arial" w:cs="Arial" w:eastAsia="Arial" w:hAnsi="Arial"/>
        </w:rPr>
        <w:t xml:space="preserve">3.3 Confirmación y emparejamiento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6156"/>
        <w:gridCol w:w="1212"/>
        <w:gridCol w:w="888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SRS-F-20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debe ver en tiempo real los pagos recibidos de su negocio.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SRS-F-21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debe poder registrar un cobro esperado con monto y referencia opcional.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SRS-F-22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emparejar automáticamente un cobro esperado con un pago recibido dentro de la ventana de emparejamiento (SRS-RN-03).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SRS-F-23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cobro debe tener un estado: Pendiente, Confirmado, Dudoso o Vencido.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SRS-F-24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marcar como Dudoso un pago cuyo monto o referencia no coincide con el cobro esperado, o que llega fuera de la ventana.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SRS-F-25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resolver manualmente un cobro Dudoso, dejando constancia en la auditoría.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RF-08, RNF-04</w:t>
            </w:r>
          </w:p>
        </w:tc>
      </w:tr>
    </w:tbl>
    <w:p>
      <w:pPr>
        <w:spacing w:after="160"/>
      </w:pPr>
    </w:p>
    <w:p>
      <w:pPr>
        <w:pStyle w:val="Heading2"/>
      </w:pPr>
      <w:bookmarkStart w:name="bm6" w:id="7"/>
      <w:r>
        <w:rPr>
          <w:rFonts w:ascii="Arial" w:cs="Arial" w:eastAsia="Arial" w:hAnsi="Arial"/>
        </w:rPr>
        <w:t xml:space="preserve">3.4 Libro diario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5942"/>
        <w:gridCol w:w="1212"/>
        <w:gridCol w:w="1102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SRS-F-30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mantener un libro diario por negocio y fecha con los pagos de todos los emisores.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SRS-F-31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debería generar el cierre del día con totales por emisor y por cajero y las diferencias frente a los cobros esperados.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SRS-F-32</w:t>
            </w:r>
          </w:p>
        </w:tc>
        <w:tc>
          <w:tcPr>
            <w:tcW w:type="dxa" w:w="5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podrá exportar el cierre en CSV.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Baja (después del MVP)</w:t>
            </w:r>
          </w:p>
        </w:tc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PRD, después del MVP</w:t>
            </w:r>
          </w:p>
        </w:tc>
      </w:tr>
    </w:tbl>
    <w:p>
      <w:pPr>
        <w:spacing w:after="160"/>
      </w:pPr>
    </w:p>
    <w:p>
      <w:pPr>
        <w:pStyle w:val="Heading2"/>
      </w:pPr>
      <w:bookmarkStart w:name="bm7" w:id="8"/>
      <w:r>
        <w:rPr>
          <w:rFonts w:ascii="Arial" w:cs="Arial" w:eastAsia="Arial" w:hAnsi="Arial"/>
        </w:rPr>
        <w:t xml:space="preserve">3.5 Auditoría y datos personales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"/>
        <w:gridCol w:w="6156"/>
        <w:gridCol w:w="1212"/>
        <w:gridCol w:w="888"/>
      </w:tblGrid>
      <w:tr>
        <w:trPr>
          <w:cantSplit/>
          <w:tblHeader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Origen (PRD)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SRS-F-40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sistema debe registrar en auditoría las altas y bajas de cajeros, las resoluciones manuales, los cambios de configuración de captura y los inicios de sesión fallidos.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</w:tr>
      <w:tr>
        <w:trPr>
          <w:cantSplit/>
        </w:trPr>
        <w:tc>
          <w:tcPr>
            <w:tcW w:type="dxa" w:w="1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SRS-F-41</w:t>
            </w:r>
          </w:p>
        </w:tc>
        <w:tc>
          <w:tcPr>
            <w:tcW w:type="dxa" w:w="6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dueño debe poder solicitar la eliminación de sus datos y los de su equipo, conforme a la política de retención (TBD-4).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8" w:id="9"/>
      <w:r>
        <w:rPr>
          <w:rFonts w:ascii="Arial" w:cs="Arial" w:eastAsia="Arial" w:hAnsi="Arial"/>
        </w:rPr>
        <w:t xml:space="preserve">4. Criterios de aceptación (requisitos clave)</w:t>
      </w:r>
      <w:bookmarkEnd w:id="9"/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language: es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Característica: Idempotencia de la ingesta (SRS-F-13)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Escenario: El mismo mensaje llega dos veces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Dado que se procesó el mensaje M con huella H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Cuando el sistema recibe de nuevo el mensaje M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Entonces no se crea un segundo pago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Y el libro diario mantiene un solo registro de ese pago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Característica: Aislamiento entre negocios (SRS-F-05)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Escenario: Un cajero consulta otro negocio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Dado un cajero del negocio A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Cuando solicita los pagos del negocio B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Entonces el sistema le niega el acceso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Y no revela si el negocio B existe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Característica: Emparejamiento (SRS-F-22)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Escenario: Cobro emparejado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Dado un cobro esperado de 25000 COP creado hace 2 minutos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Cuando llega un pago de 25000 COP con referencia coincidente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Entonces el cobro pasa a Confirmado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Y el cajero lo ve en menos de 10 segundos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Característica: Pago dudoso (SRS-F-24)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Escenario: Monto distinto al esperado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Dado un cobro esperado de 25000 COP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Cuando llega un pago de 2500 COP dentro de la ventana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Entonces el pago queda Dudoso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Y el cobro sigue Pendiente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Característica: Mensaje no reconocido (SRS-F-14)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Escenario: Formato que ningún parser reconoce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Dado un mensaje cuyo formato ningún parser reconoce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Cuando el sistema lo recibe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Entonces lo guarda como no reconocido y avisa al dueño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Y no crea ningún pago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Característica: Revocación de cajero (SRS-F-03)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Escenario: El dueño revoca a un cajero con sesión activa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Dado un cajero con sesión activa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Cuando el dueño revoca su cuenta</w:t>
      </w:r>
    </w:p>
    <w:p>
      <w:pPr>
        <w:shd w:fill="F2F2F2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Entonces las siguientes solicitudes del cajero son rechazadas</w:t>
      </w:r>
    </w:p>
    <w:p>
      <w:pPr>
        <w:pStyle w:val="Heading1"/>
      </w:pPr>
      <w:bookmarkStart w:name="bm9" w:id="10"/>
      <w:r>
        <w:rPr>
          <w:rFonts w:ascii="Arial" w:cs="Arial" w:eastAsia="Arial" w:hAnsi="Arial"/>
        </w:rPr>
        <w:t xml:space="preserve">5. Reglas de negocio</w:t>
      </w:r>
      <w:bookmarkEnd w:id="1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2"/>
        <w:gridCol w:w="8148"/>
      </w:tblGrid>
      <w:tr>
        <w:trPr>
          <w:cantSplit/>
          <w:tblHeader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SRS-RN-01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pago pertenece a un único negocio.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SRS-RN-02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cobro esperado se empareja con un solo pago y un pago con un solo cobro.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SRS-RN-03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ventana de emparejamiento es de 10 minutos por defecto y configurable por negocio [HIP, TBD-3].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SRS-RN-04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pago confirmado no se modifica; cualquier corrección genera un nuevo evento de auditoría.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SRS-RN-05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 cajero nunca ve credenciales ni la configuración de captura.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SRS-RN-06</w:t>
            </w:r>
          </w:p>
        </w:tc>
        <w:tc>
          <w:tcPr>
            <w:tcW w:type="dxa" w:w="8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cierre del día usa la zona horaria America/Bogota.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0" w:id="11"/>
      <w:r>
        <w:rPr>
          <w:rFonts w:ascii="Arial" w:cs="Arial" w:eastAsia="Arial" w:hAnsi="Arial"/>
        </w:rPr>
        <w:t xml:space="preserve">6. Requisitos no funcionales</w:t>
      </w:r>
      <w:bookmarkEnd w:id="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752"/>
        <w:gridCol w:w="5076"/>
        <w:gridCol w:w="1212"/>
      </w:tblGrid>
      <w:tr>
        <w:trPr>
          <w:cantSplit/>
          <w:tblHeader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SRS-NFR-01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Desempeño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95 % de las notificaciones aparece al cajero en menos de 10 s desde su recepción.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SRS-NFR-02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Capacidad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MVP soporta 20 negocios y 50 notificaciones por minuto en total sin degradar SRS-NFR-01 [por validar].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SRS-NFR-03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Objetivo de 99,5 % mensual en el piloto (objetivo, no compromiso contractual).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SRS-NFR-04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procesamiento usa reintentos con espera creciente; ninguna notificación aceptada se pierde ni se duplica ante la caída de un componente.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SRS-NFR-05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Requisitos alineados con OWASP ASVS nivel 2 (subconjunto aplicable); contraseñas con Argon2id; TLS en todo el tráfico; secretos fuera del repositorio.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SRS-NFR-06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Aislamiento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automáticas verifican que ningún negocio accede a datos de otro.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SRS-NFR-07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Privacidad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almacena solo lo necesario del mensaje; contenido original cifrado en reposo; retención definida (TBD-4); cumplimiento de la Ley 1581 de 2012 (autorización, política de tratamiento y derechos del titular).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SRS-NFR-08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Abuso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Limitación de tasa en la API y en la recepción de mensajes.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SRS-NFR-09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Mantenibilidad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parser es un módulo independiente con pruebas propias y cobertura mínima de 80 %.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SRS-NFR-10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cajero confirma un cobro con máximo 3 interacciones; interfaz en español y usable en pantalla de celular.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SRS-NFR-11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Logs estructurados sin datos sensibles, identificador de correlación, endpoints de salud y métricas básicas.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SRS-NFR-12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Portabilidad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Despliegue reproducible en contenedores con versiones fijadas según el ADR-0001.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SRS-NFR-13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Cumplimiento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asume que, al no custodiar ni mover dinero, el servicio queda fuera de la regulación de pagos; validar con asesoría legal antes del piloto [supuesto].</w:t>
            </w:r>
          </w:p>
        </w:tc>
        <w:tc>
          <w:tcPr>
            <w:tcW w:type="dxa" w:w="1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1" w:id="12"/>
      <w:r>
        <w:rPr>
          <w:rFonts w:ascii="Arial" w:cs="Arial" w:eastAsia="Arial" w:hAnsi="Arial"/>
        </w:rPr>
        <w:t xml:space="preserve">7. Interfaces externas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6"/>
        <w:gridCol w:w="7264"/>
      </w:tblGrid>
      <w:tr>
        <w:trPr>
          <w:cantSplit/>
          <w:tblHeader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Interfaz de usuario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Aplicación web adaptable a celular para cajero y dueño, en español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REST con contrato primero en OpenAPI 3.1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de actualización en vivo hacia la pantalla del cajero (tecnología a decidir en ADR)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Fuente de notificaciones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Vía de captura pendiente de decisión (TBD-1)</w:t>
            </w:r>
          </w:p>
        </w:tc>
      </w:tr>
      <w:tr>
        <w:trPr>
          <w:cantSplit/>
        </w:trPr>
        <w:tc>
          <w:tcPr>
            <w:tcW w:type="dxa" w:w="2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Alertas al dueño</w:t>
            </w:r>
          </w:p>
        </w:tc>
        <w:tc>
          <w:tcPr>
            <w:tcW w:type="dxa" w:w="7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por definir (TBD-5)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2" w:id="13"/>
      <w:r>
        <w:rPr>
          <w:rFonts w:ascii="Arial" w:cs="Arial" w:eastAsia="Arial" w:hAnsi="Arial"/>
        </w:rPr>
        <w:t xml:space="preserve">8. Requisitos de datos (modelo conceptual)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5639"/>
        <w:gridCol w:w="1969"/>
      </w:tblGrid>
      <w:tr>
        <w:trPr>
          <w:cantSplit/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 principales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Negocio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nombre, zona horaria, estado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Unidad de aislamiento (tenant)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rol, estado, credencial (hash)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Rol: dueño o cajero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cruda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huella, origen, contenido cifrado, recibida en, estado de lectura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para reprocesar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emisor, monto, fecha y hora, referencia, tipo, notificación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Inmutable (SRS-RN-04)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 esperado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cajero, monto, referencia, creado en, vence, estado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Estados de SRS-F-23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Emparejamiento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cobro, pago, método (automático o manual), fecha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Uno a uno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Evento de auditoría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id, negocio, actor, acción, entidad, fecha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se agrega, no se edita</w:t>
            </w:r>
          </w:p>
        </w:tc>
      </w:tr>
      <w:tr>
        <w:trPr>
          <w:cantSplit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Cierre diario</w:t>
            </w:r>
          </w:p>
        </w:tc>
        <w:tc>
          <w:tcPr>
            <w:tcW w:type="dxa" w:w="5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negocio, fecha, totales por emisor y cajero, diferencias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Calculado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3" w:id="14"/>
      <w:r>
        <w:rPr>
          <w:rFonts w:ascii="Arial" w:cs="Arial" w:eastAsia="Arial" w:hAnsi="Arial"/>
        </w:rPr>
        <w:t xml:space="preserve">9. Trazabilidad y verificación</w:t>
      </w:r>
      <w:bookmarkEnd w:id="14"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Métodos: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</w:t>
      </w:r>
      <w:r>
        <w:rPr>
          <w:rFonts w:ascii="Arial" w:cs="Arial" w:eastAsia="Arial" w:hAnsi="Arial"/>
          <w:sz w:val="21"/>
          <w:szCs w:val="21"/>
        </w:rPr>
        <w:t xml:space="preserve"> prueba automatizada,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</w:t>
      </w:r>
      <w:r>
        <w:rPr>
          <w:rFonts w:ascii="Arial" w:cs="Arial" w:eastAsia="Arial" w:hAnsi="Arial"/>
          <w:sz w:val="21"/>
          <w:szCs w:val="21"/>
        </w:rPr>
        <w:t xml:space="preserve"> inspección,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</w:t>
      </w:r>
      <w:r>
        <w:rPr>
          <w:rFonts w:ascii="Arial" w:cs="Arial" w:eastAsia="Arial" w:hAnsi="Arial"/>
          <w:sz w:val="21"/>
          <w:szCs w:val="21"/>
        </w:rPr>
        <w:t xml:space="preserve"> análisis,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</w:t>
      </w:r>
      <w:r>
        <w:rPr>
          <w:rFonts w:ascii="Arial" w:cs="Arial" w:eastAsia="Arial" w:hAnsi="Arial"/>
          <w:sz w:val="21"/>
          <w:szCs w:val="21"/>
        </w:rPr>
        <w:t xml:space="preserve"> demostración.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1"/>
        <w:gridCol w:w="3517"/>
        <w:gridCol w:w="4322"/>
      </w:tblGrid>
      <w:tr>
        <w:trPr>
          <w:cantSplit/>
          <w:tblHeader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Requisitos SRS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RF-01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SRS-F-10, F-11, F-12, F-14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(parsers con muestras reales), 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RF-02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SRS-F-13, SRS-NFR-04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(reintentos y duplicados)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RF-03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SRS-F-20, F-23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(extremo a extremo)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RF-04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SRS-F-21, F-22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RF-05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SRS-F-30, F-31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(integración), I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RF-06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SRS-F-01, F-02, F-05, SRS-NFR-06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(aislamiento)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RF-07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SRS-F-03, F-04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(extremo a extremo)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RF-08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SRS-F-24, F-25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RNF-01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SRS-NFR-06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RNF-02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SRS-NFR-07, SRS-F-41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(revisión de diseño), T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RNF-03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SRS-NFR-04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(fallos simulados)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RNF-04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SRS-F-40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(integración)</w:t>
            </w:r>
          </w:p>
        </w:tc>
      </w:tr>
      <w:tr>
        <w:trPr>
          <w:cantSplit/>
        </w:trPr>
        <w:tc>
          <w:tcPr>
            <w:tcW w:type="dxa" w:w="1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Métricas del PRD</w:t>
            </w:r>
          </w:p>
        </w:tc>
        <w:tc>
          <w:tcPr>
            <w:tcW w:type="dxa" w:w="3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SRS-NFR-01, NFR-02</w:t>
            </w:r>
          </w:p>
        </w:tc>
        <w:tc>
          <w:tcPr>
            <w:tcW w:type="dxa" w:w="43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 (pruebas de carga), D (piloto)</w:t>
            </w:r>
          </w:p>
        </w:tc>
      </w:tr>
    </w:tbl>
    <w:p>
      <w:pPr>
        <w:spacing w:after="160"/>
      </w:pPr>
    </w:p>
    <w:p>
      <w:pPr>
        <w:pStyle w:val="Heading1"/>
      </w:pPr>
      <w:bookmarkStart w:name="bm14" w:id="15"/>
      <w:r>
        <w:rPr>
          <w:rFonts w:ascii="Arial" w:cs="Arial" w:eastAsia="Arial" w:hAnsi="Arial"/>
        </w:rPr>
        <w:t xml:space="preserve">10. Pendientes y preguntas abiertas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"/>
        <w:gridCol w:w="4744"/>
        <w:gridCol w:w="3672"/>
      </w:tblGrid>
      <w:tr>
        <w:trPr>
          <w:cantSplit/>
          <w:tblHeader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resuelve con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TBD-1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Vía de captura de notificaciones (Q1 del PRD)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Spike técnico y ADR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TBD-2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Emisores incluidos en el MVP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Entrevistas reales y muestras disponibles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TBD-3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y configurabilidad de la ventana de emparejamiento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Flujo real de cobro del piloto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TBD-4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Política de retención y eliminación de datos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amenazas y asesoría legal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TBD-5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Canal de alertas al dueño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ADR de notificaciones</w:t>
            </w:r>
          </w:p>
        </w:tc>
      </w:tr>
      <w:tr>
        <w:trPr>
          <w:cantSplit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TBD-6</w:t>
            </w:r>
          </w:p>
        </w:tc>
        <w:tc>
          <w:tcPr>
            <w:tcW w:type="dxa" w:w="4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legal del supuesto SRS-NFR-13</w:t>
            </w:r>
          </w:p>
        </w:tc>
        <w:tc>
          <w:tcPr>
            <w:tcW w:type="dxa" w:w="36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Asesoría legal antes del piloto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Uso interno · Borrador de trabajo</w:t>
    </w:r>
    <w:r>
      <w:rPr>
        <w:rFonts w:ascii="Arial" w:cs="Arial" w:eastAsia="Arial" w:hAnsi="Arial"/>
        <w:color w:val="595959"/>
        <w:sz w:val="16"/>
        <w:szCs w:val="16"/>
      </w:rPr>
      <w:tab/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color w:val="595959"/>
        <w:sz w:val="16"/>
        <w:szCs w:val="16"/>
      </w:rPr>
      <w:t xml:space="preserve">Confirma — SRS</w:t>
    </w:r>
    <w:r>
      <w:rPr>
        <w:rFonts w:ascii="Arial" w:cs="Arial" w:eastAsia="Arial" w:hAnsi="Arial"/>
        <w:color w:val="595959"/>
        <w:sz w:val="16"/>
        <w:szCs w:val="16"/>
      </w:rPr>
      <w:tab/>
      <w:t xml:space="preserve">CNF-SRS-001  ·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F5496" w:sz="6" w:space="3"/>
      </w:pBdr>
      <w:spacing w:after="14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FrontH">
    <w:name w:val="Front Heading"/>
    <w:basedOn w:val="Normal"/>
    <w:next w:val="Normal"/>
    <w:pPr>
      <w:keepNext/>
      <w:pBdr>
        <w:bottom w:val="single" w:color="2F5496" w:sz="6" w:space="3"/>
      </w:pBdr>
      <w:spacing w:after="160" w:before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FrontS">
    <w:name w:val="Front Sub"/>
    <w:basedOn w:val="Normal"/>
    <w:next w:val="Normal"/>
    <w:pPr>
      <w:keepNext/>
      <w:spacing w:after="100" w:before="220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 — Especificación de requisitos de software (SRS)</dc:title>
  <dc:creator>Edwin Carabalí</dc:creator>
  <dc:description>CNF-SRS-001 v0.1</dc:description>
  <cp:lastModifiedBy>Un-named</cp:lastModifiedBy>
  <cp:revision>1</cp:revision>
  <dcterms:created xsi:type="dcterms:W3CDTF">2026-10-12T01:03:21.200Z</dcterms:created>
  <dcterms:modified xsi:type="dcterms:W3CDTF">2026-10-12T01:03:21.200Z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