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CONFIRMA  ·  PROYECTO DE SOFTWARE</w:t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Documento de requisitos del producto (PRD)</w:t>
      </w:r>
    </w:p>
    <w:p>
      <w:pPr>
        <w:pBdr>
          <w:bottom w:val="single" w:color="2F5496" w:sz="18" w:space="10"/>
        </w:pBdr>
        <w:spacing w:after="28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Fase 0 — Definición del producto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 (nombre provisional)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Código del documento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CNF-PRD-001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de 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Edwin Carabalí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Borrador (basado en el informe S-0.1)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Referencia normativa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Plantilla PRD basada en el documento de visión y alcance</w:t>
            </w:r>
          </w:p>
        </w:tc>
      </w:tr>
    </w:tbl>
    <w:p>
      <w:pPr>
        <w:sectPr>
          <w:pgSz w:w="12240" w:h="15840" w:orient="portrait"/>
          <w:pgMar w:top="1440" w:right="1440" w:bottom="1300" w:left="1440" w:header="600" w:footer="600" w:gutter="0"/>
          <w:pgNumType/>
          <w:docGrid w:linePitch="360"/>
        </w:sectPr>
      </w:pPr>
    </w:p>
    <w:p>
      <w:pPr>
        <w:pStyle w:val="FrontH"/>
      </w:pPr>
      <w:r>
        <w:rPr>
          <w:rFonts w:ascii="Arial" w:cs="Arial" w:eastAsia="Arial" w:hAnsi="Arial"/>
        </w:rPr>
        <w:t xml:space="preserve">Control del documento</w:t>
      </w:r>
    </w:p>
    <w:p>
      <w:pPr>
        <w:pStyle w:val="FrontS"/>
      </w:pPr>
      <w:r>
        <w:rPr>
          <w:rFonts w:ascii="Arial" w:cs="Arial" w:eastAsia="Arial" w:hAnsi="Arial"/>
        </w:rPr>
        <w:t xml:space="preserve">Información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Código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CNF-PRD-001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Documento de requisitos del producto (PRD)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 (nombre provisional)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Versión vigente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Borrador (basado en el informe S-0.1)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Interno — borrador de trabajo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Referencia normativa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Plantilla PRD basada en el documento de visión y alcance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Idioma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Español (Colombia)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1428"/>
        <w:gridCol w:w="1286"/>
        <w:gridCol w:w="5650"/>
      </w:tblGrid>
      <w:tr>
        <w:trPr>
          <w:cantSplit/>
          <w:tblHeader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11-oct-2026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Edwin Carabalí</w:t>
            </w:r>
          </w:p>
        </w:tc>
        <w:tc>
          <w:tcPr>
            <w:tcW w:type="dxa" w:w="5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Primer borrador con hipótesis sin validar (reemplazada)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11-oct-2026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Edwin Carabalí</w:t>
            </w:r>
          </w:p>
        </w:tc>
        <w:tc>
          <w:tcPr>
            <w:tcW w:type="dxa" w:w="5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Alcance replanteado según el informe S-0.1; análisis de alternativas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Aprobaciones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9"/>
        <w:gridCol w:w="2884"/>
        <w:gridCol w:w="2159"/>
        <w:gridCol w:w="2158"/>
      </w:tblGrid>
      <w:tr>
        <w:trPr>
          <w:cantSplit/>
          <w:tblHeader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Elaboró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Edwin Carabalí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11-oct-2026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Aprobó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Distribución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Repositorio del proyecto, carpeta </w:t>
      </w:r>
      <w:r>
        <w:rPr>
          <w:rFonts w:ascii="Consolas" w:cs="Consolas" w:eastAsia="Consolas" w:hAnsi="Consolas"/>
          <w:sz w:val="19"/>
          <w:szCs w:val="19"/>
        </w:rPr>
        <w:t xml:space="preserve">docs/</w:t>
      </w:r>
      <w:r>
        <w:rPr>
          <w:rFonts w:ascii="Arial" w:cs="Arial" w:eastAsia="Arial" w:hAnsi="Arial"/>
          <w:sz w:val="21"/>
          <w:szCs w:val="21"/>
        </w:rPr>
        <w:t xml:space="preserve">. Documento vivo: cada cambio sube la versión y se registra en el historial de revisiones.</w:t>
      </w:r>
    </w:p>
    <w:p>
      <w:r>
        <w:br w:type="page"/>
      </w:r>
    </w:p>
    <w:p>
      <w:pPr>
        <w:pStyle w:val="FrontH"/>
      </w:pPr>
      <w:r>
        <w:rPr>
          <w:rFonts w:ascii="Arial" w:cs="Arial" w:eastAsia="Arial" w:hAnsi="Arial"/>
        </w:rPr>
        <w:t xml:space="preserve">Tabla de contenido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0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1. Resumen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2. Problema [HIP]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2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3. Usuarios objetivo [HIP]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3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4. Objetivos y no objetivos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4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Objetivos del producto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5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Objetivos del proyecto (portafolio)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6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No objetivos (fuera de alcance)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7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5. Métricas de éxito [HIP: valores objetivo por ajustar]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8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6. Alcance del MVP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9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Incluido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10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Después del MVP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1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7. Requisitos de alto nivel (se detallan en el SRS)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2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8. Supuestos, restricciones y dependencias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3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9. Riesgos iniciales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4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10. Preguntas abiertas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5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11. Hitos de la Fase 0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8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6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12. Glosario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8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7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13. Análisis de alternativas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8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8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14. Cambios respecto a la v0.1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9</w:t>
      </w:r>
    </w:p>
    <w:p>
      <w:r>
        <w:br w:type="page"/>
      </w:r>
    </w:p>
    <w:p>
      <w:pPr>
        <w:pBdr>
          <w:left w:val="single" w:color="BF9000" w:sz="24" w:space="8"/>
        </w:pBdr>
        <w:shd w:fill="FFF2CC" w:color="auto" w:val="clear"/>
        <w:spacing w:after="160" w:before="80" w:line="276"/>
        <w:ind w:left="180" w:righ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Convención:</w:t>
      </w:r>
      <w:r>
        <w:rPr>
          <w:rFonts w:ascii="Arial" w:cs="Arial" w:eastAsia="Arial" w:hAnsi="Arial"/>
          <w:sz w:val="20"/>
          <w:szCs w:val="20"/>
        </w:rPr>
        <w:t xml:space="preserve"> todo lo marcado como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[HIP]</w:t>
      </w:r>
      <w:r>
        <w:rPr>
          <w:rFonts w:ascii="Arial" w:cs="Arial" w:eastAsia="Arial" w:hAnsi="Arial"/>
          <w:sz w:val="20"/>
          <w:szCs w:val="20"/>
        </w:rPr>
        <w:t xml:space="preserve"> es una hipótesis sin evidencia de campo todavía. Cuando una entrevista la confirme o la refute, se actualiza este documento y se sube la versión.</w:t>
      </w:r>
    </w:p>
    <w:p>
      <w:pPr>
        <w:pStyle w:val="Heading1"/>
      </w:pPr>
      <w:bookmarkStart w:name="bm0" w:id="1"/>
      <w:r>
        <w:rPr>
          <w:rFonts w:ascii="Arial" w:cs="Arial" w:eastAsia="Arial" w:hAnsi="Arial"/>
        </w:rPr>
        <w:t xml:space="preserve">1. Resumen</w:t>
      </w:r>
      <w:bookmarkEnd w:id="1"/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Confirma es un servicio que permite a un negocio pequeño con empleados confirmar, desde un solo lugar y en segundos, que un pago por transferencia o billetera digital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realmente llegó</w:t>
      </w:r>
      <w:r>
        <w:rPr>
          <w:rFonts w:ascii="Arial" w:cs="Arial" w:eastAsia="Arial" w:hAnsi="Arial"/>
          <w:sz w:val="21"/>
          <w:szCs w:val="21"/>
        </w:rPr>
        <w:t xml:space="preserve">, contrastándolo con la notificación genuina del emisor en lugar de confiar en un pantallazo. Además lleva un libro diario unificado de todos los emisores para cuadrar la caja.</w:t>
      </w:r>
    </w:p>
    <w:p>
      <w:pPr>
        <w:pStyle w:val="Heading1"/>
      </w:pPr>
      <w:bookmarkStart w:name="bm1" w:id="2"/>
      <w:r>
        <w:rPr>
          <w:rFonts w:ascii="Arial" w:cs="Arial" w:eastAsia="Arial" w:hAnsi="Arial"/>
        </w:rPr>
        <w:t xml:space="preserve">2. Problema [HIP]</w:t>
      </w:r>
      <w:bookmarkEnd w:id="2"/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Los negocios pequeños reciben cada vez más pagos por varios emisores (Nequi, Daviplata, bancos y Bre-B), y cada emisor ofrece su propia forma de confirmarlos (ver sección 13). Según el informe S-0.1, tres problemas se repiten: el empleado que recibe el pago no ve las alertas, que llegan al dueño; el cierre del día se cuadra a mano juntando varias apps y un cuaderno; y el fraude con comprobantes falsos, que los emisores cubren solo en parte.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Origen de los datos:</w:t>
      </w:r>
      <w:r>
        <w:rPr>
          <w:rFonts w:ascii="Arial" w:cs="Arial" w:eastAsia="Arial" w:hAnsi="Arial"/>
          <w:sz w:val="21"/>
          <w:szCs w:val="21"/>
        </w:rPr>
        <w:t xml:space="preserve"> los hallazgos de esta versión vienen del informe S-0.1, que es un escenario de trabajo y no evidencia de campo. Se tratan como supuestos y se reemplazan con las entrevistas reales (Guía de entrevistas v0.1).</w:t>
      </w:r>
    </w:p>
    <w:p>
      <w:pPr>
        <w:pStyle w:val="Heading1"/>
      </w:pPr>
      <w:bookmarkStart w:name="bm2" w:id="3"/>
      <w:r>
        <w:rPr>
          <w:rFonts w:ascii="Arial" w:cs="Arial" w:eastAsia="Arial" w:hAnsi="Arial"/>
        </w:rPr>
        <w:t xml:space="preserve">3. Usuarios objetivo [HIP]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2841"/>
        <w:gridCol w:w="3647"/>
        <w:gridCol w:w="1212"/>
      </w:tblGrid>
      <w:tr>
        <w:trPr>
          <w:cantSplit/>
          <w:tblHeader/>
        </w:trPr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Necesidad principal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Dueño de negocio con empleados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Tienda de barrio o negocio de comida con varios medios de pago</w:t>
            </w:r>
          </w:p>
        </w:tc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 su equipo confirme pagos sin darles acceso a su cuenta, y cuadrar el día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Cajero o empleado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Recibe pagos en nombre del dueño</w:t>
            </w:r>
          </w:p>
        </w:tc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al instante si el pago llegó, sin llamar al dueño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dueño u otra persona que cierra el día</w:t>
            </w:r>
          </w:p>
        </w:tc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Libro diario unificado y pagos dudosos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Vendedor por redes que cobra solo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Emprendedor sin empleados</w:t>
            </w:r>
          </w:p>
        </w:tc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rápido y llevar registro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Baja (después del MVP)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 prioridad inicial 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 solo perfil</w:t>
      </w:r>
      <w:r>
        <w:rPr>
          <w:rFonts w:ascii="Arial" w:cs="Arial" w:eastAsia="Arial" w:hAnsi="Arial"/>
          <w:sz w:val="21"/>
          <w:szCs w:val="21"/>
        </w:rPr>
        <w:t xml:space="preserve">: negocio con empleados y varios medios de pago. El vendedor que cobra solo queda para después del MVP.</w:t>
      </w:r>
    </w:p>
    <w:p>
      <w:pPr>
        <w:pStyle w:val="Heading1"/>
      </w:pPr>
      <w:bookmarkStart w:name="bm3" w:id="4"/>
      <w:r>
        <w:rPr>
          <w:rFonts w:ascii="Arial" w:cs="Arial" w:eastAsia="Arial" w:hAnsi="Arial"/>
        </w:rPr>
        <w:t xml:space="preserve">4. Objetivos y no objetivos</w:t>
      </w:r>
      <w:bookmarkEnd w:id="4"/>
    </w:p>
    <w:p>
      <w:pPr>
        <w:pStyle w:val="Heading2"/>
      </w:pPr>
      <w:bookmarkStart w:name="bm4" w:id="5"/>
      <w:r>
        <w:rPr>
          <w:rFonts w:ascii="Arial" w:cs="Arial" w:eastAsia="Arial" w:hAnsi="Arial"/>
        </w:rPr>
        <w:t xml:space="preserve">Objetivos del producto</w:t>
      </w:r>
      <w:bookmarkEnd w:id="5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O1. Que el cajero confirme un pago en segundos, sin acceso a la cuenta del dueño ni llamadas.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O2. Un libro diario unificado de todos los emisores para cuadrar la caja.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O3. No exigir al negocio cambiar de banco ni de billetera.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O4. Señalar pagos dudosos como función secundaria.</w:t>
      </w:r>
    </w:p>
    <w:p>
      <w:pPr>
        <w:spacing w:after="60"/>
      </w:pPr>
    </w:p>
    <w:p>
      <w:pPr>
        <w:pStyle w:val="Heading2"/>
      </w:pPr>
      <w:bookmarkStart w:name="bm5" w:id="6"/>
      <w:r>
        <w:rPr>
          <w:rFonts w:ascii="Arial" w:cs="Arial" w:eastAsia="Arial" w:hAnsi="Arial"/>
        </w:rPr>
        <w:t xml:space="preserve">Objetivos del proyecto (portafolio)</w:t>
      </w:r>
      <w:bookmarkEnd w:id="6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P1. Demostrar arquitectura de ingesta asíncrona, idempotencia y procesamiento por colas.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P2. Demostrar seguridad y privacidad desde el diseño con datos financieros.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P3. Entregar un producto desplegado, documentado y medido, no un prototipo incompleto.</w:t>
      </w:r>
    </w:p>
    <w:p>
      <w:pPr>
        <w:spacing w:after="60"/>
      </w:pPr>
    </w:p>
    <w:p>
      <w:pPr>
        <w:pStyle w:val="Heading2"/>
      </w:pPr>
      <w:bookmarkStart w:name="bm6" w:id="7"/>
      <w:r>
        <w:rPr>
          <w:rFonts w:ascii="Arial" w:cs="Arial" w:eastAsia="Arial" w:hAnsi="Arial"/>
        </w:rPr>
        <w:t xml:space="preserve">No objetivos (fuera de alcance)</w:t>
      </w:r>
      <w:bookmarkEnd w:id="7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Mover, custodiar o procesar dinero. Confirma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solo lee y concilia</w:t>
      </w:r>
      <w:r>
        <w:rPr>
          <w:rFonts w:ascii="Arial" w:cs="Arial" w:eastAsia="Arial" w:hAnsi="Arial"/>
          <w:sz w:val="21"/>
          <w:szCs w:val="21"/>
        </w:rPr>
        <w:t xml:space="preserve">, no es una pasarela ni una billetera.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Reemplazar un sistema de facturación o de punto de venta.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Integraciones oficiales con bancos (no hay acuerdos). Se trabaja con las notificaciones que el propio usuario recibe.</w:t>
      </w:r>
    </w:p>
    <w:p>
      <w:pPr>
        <w:spacing w:after="60"/>
      </w:pPr>
    </w:p>
    <w:p>
      <w:pPr>
        <w:pStyle w:val="Heading1"/>
      </w:pPr>
      <w:bookmarkStart w:name="bm7" w:id="8"/>
      <w:r>
        <w:rPr>
          <w:rFonts w:ascii="Arial" w:cs="Arial" w:eastAsia="Arial" w:hAnsi="Arial"/>
        </w:rPr>
        <w:t xml:space="preserve">5. Métricas de éxito [HIP: valores objetivo por ajustar]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9"/>
        <w:gridCol w:w="4083"/>
        <w:gridCol w:w="2958"/>
      </w:tblGrid>
      <w:tr>
        <w:trPr>
          <w:cantSplit/>
          <w:tblHeader/>
        </w:trPr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4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inicial</w:t>
            </w:r>
          </w:p>
        </w:tc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mide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Cobros que el cajero confirma sin llamar al dueño</w:t>
            </w:r>
          </w:p>
        </w:tc>
        <w:tc>
          <w:tcPr>
            <w:tcW w:type="dxa" w:w="4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 menos 80 % en el piloto</w:t>
            </w:r>
          </w:p>
        </w:tc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eventos del piloto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Tiempo de cuadre diario</w:t>
            </w:r>
          </w:p>
        </w:tc>
        <w:tc>
          <w:tcPr>
            <w:tcW w:type="dxa" w:w="4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Reducción de al menos 50 % frente al punto de partida del negocio</w:t>
            </w:r>
          </w:p>
        </w:tc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Medición antes y después en el piloto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Falsos positivos (confirmar un pago que no existe)</w:t>
            </w:r>
          </w:p>
        </w:tc>
        <w:tc>
          <w:tcPr>
            <w:tcW w:type="dxa" w:w="4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en pruebas</w:t>
            </w:r>
          </w:p>
        </w:tc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Conjunto de pruebas con casos falsos y manipulados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Latencia de confirmación</w:t>
            </w:r>
          </w:p>
        </w:tc>
        <w:tc>
          <w:tcPr>
            <w:tcW w:type="dxa" w:w="4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Menos de 10 s desde que llega la notificación hasta que el cajero la ve</w:t>
            </w:r>
          </w:p>
        </w:tc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Medición de extremo a extremo en pruebas de carga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Cobertura de parsers</w:t>
            </w:r>
          </w:p>
        </w:tc>
        <w:tc>
          <w:tcPr>
            <w:tcW w:type="dxa" w:w="4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 menos 2 emisores soportados con muestras reales en el MVP</w:t>
            </w:r>
          </w:p>
        </w:tc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Conteo de formatos con pruebas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Idempotencia</w:t>
            </w:r>
          </w:p>
        </w:tc>
        <w:tc>
          <w:tcPr>
            <w:tcW w:type="dxa" w:w="4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duplicados al reprocesar el mismo mensaje</w:t>
            </w:r>
          </w:p>
        </w:tc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de reintento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real (piloto)</w:t>
            </w:r>
          </w:p>
        </w:tc>
        <w:tc>
          <w:tcPr>
            <w:tcW w:type="dxa" w:w="4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 menos 2 negocios con empleados usando el servicio una semana</w:t>
            </w:r>
          </w:p>
        </w:tc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eventos del piloto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8" w:id="9"/>
      <w:r>
        <w:rPr>
          <w:rFonts w:ascii="Arial" w:cs="Arial" w:eastAsia="Arial" w:hAnsi="Arial"/>
        </w:rPr>
        <w:t xml:space="preserve">6. Alcance del MVP</w:t>
      </w:r>
      <w:bookmarkEnd w:id="9"/>
    </w:p>
    <w:p>
      <w:pPr>
        <w:pStyle w:val="Heading2"/>
      </w:pPr>
      <w:bookmarkStart w:name="bm9" w:id="10"/>
      <w:r>
        <w:rPr>
          <w:rFonts w:ascii="Arial" w:cs="Arial" w:eastAsia="Arial" w:hAnsi="Arial"/>
        </w:rPr>
        <w:t xml:space="preserve">Incluido</w:t>
      </w:r>
      <w:bookmarkEnd w:id="10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Registro y autenticación de un negocio, con roles de dueño y cajero (RBAC).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Captura de las notificaciones de pago por una vía que el usuario controle y que lea solo mensajes de pago (ver Q1).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Parsers por emisor (Strategy), con pruebas basadas en muestras reales anonimizadas.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Vista de confirmaciones en tiempo real para el cajero, sin acceso a la cuenta del dueño.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Libro diario unificado de todos los emisores y conciliación básica con el cobro esperado.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Marca de pagos dudosos como función secundaria.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Registro de auditoría de eventos relevantes.</w:t>
      </w:r>
    </w:p>
    <w:p>
      <w:pPr>
        <w:spacing w:after="60"/>
      </w:pPr>
    </w:p>
    <w:p>
      <w:pPr>
        <w:pStyle w:val="Heading2"/>
      </w:pPr>
      <w:bookmarkStart w:name="bm10" w:id="11"/>
      <w:r>
        <w:rPr>
          <w:rFonts w:ascii="Arial" w:cs="Arial" w:eastAsia="Arial" w:hAnsi="Arial"/>
        </w:rPr>
        <w:t xml:space="preserve">Después del MVP</w:t>
      </w:r>
      <w:bookmarkEnd w:id="11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Más emisores y más vías de captura.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Reportes semanales y exportación.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Alertas por patrones sospechosos.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Aplicación móvil dedicada.</w:t>
      </w:r>
    </w:p>
    <w:p>
      <w:pPr>
        <w:spacing w:after="60"/>
      </w:pPr>
    </w:p>
    <w:p>
      <w:pPr>
        <w:pStyle w:val="Heading1"/>
      </w:pPr>
      <w:bookmarkStart w:name="bm11" w:id="12"/>
      <w:r>
        <w:rPr>
          <w:rFonts w:ascii="Arial" w:cs="Arial" w:eastAsia="Arial" w:hAnsi="Arial"/>
        </w:rPr>
        <w:t xml:space="preserve">7. Requisitos de alto nivel (se detallan en el SRS)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7228"/>
        <w:gridCol w:w="1212"/>
      </w:tblGrid>
      <w:tr>
        <w:trPr>
          <w:cantSplit/>
          <w:tblHeader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ingerir notificaciones de pago y convertirlas a un formato normalizado (monto, fecha, emisor, referencia).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evitar procesar dos veces la misma notificación.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cajero debe ver en tiempo real el estado de cada cobro, sin acceso a la cuenta del dueño.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permitir emparejar un cobro esperado con un pago recibido.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mantener un libro diario unificado de todos los emisores por negocio.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soportar varios negocios aislados entre sí (multi-tenant).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dueño debe poder crear y revocar cajeros con permisos limitados a ver confirmaciones.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marcar pagos dudosos (por ejemplo, monto o referencia que no coincide).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datos de cada negocio no deben ser accesibles por otros.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datos personales se minimizan y se tratan según la Ley 1581 de 2012.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procesamiento debe tolerar reintentos y fallos parciales sin perder ni duplicar pagos.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 acción sensible queda en un registro de auditoría.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12" w:id="13"/>
      <w:r>
        <w:rPr>
          <w:rFonts w:ascii="Arial" w:cs="Arial" w:eastAsia="Arial" w:hAnsi="Arial"/>
        </w:rPr>
        <w:t xml:space="preserve">8. Supuestos, restricciones y dependencias</w:t>
      </w:r>
      <w:bookmarkEnd w:id="13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Supuesto S1 [HIP]:</w:t>
      </w:r>
      <w:r>
        <w:rPr>
          <w:rFonts w:ascii="Arial" w:cs="Arial" w:eastAsia="Arial" w:hAnsi="Arial"/>
          <w:sz w:val="21"/>
          <w:szCs w:val="21"/>
        </w:rPr>
        <w:t xml:space="preserve"> las notificaciones de los emisores objetivo contienen información suficiente (monto, fecha y algún identificador) para confirmar un pago.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Supuesto S2 [HIP]:</w:t>
      </w:r>
      <w:r>
        <w:rPr>
          <w:rFonts w:ascii="Arial" w:cs="Arial" w:eastAsia="Arial" w:hAnsi="Arial"/>
          <w:sz w:val="21"/>
          <w:szCs w:val="21"/>
        </w:rPr>
        <w:t xml:space="preserve"> el usuario acepta compartir esas notificaciones con el servicio por una vía sencilla.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Restricción R1:</w:t>
      </w:r>
      <w:r>
        <w:rPr>
          <w:rFonts w:ascii="Arial" w:cs="Arial" w:eastAsia="Arial" w:hAnsi="Arial"/>
          <w:sz w:val="21"/>
          <w:szCs w:val="21"/>
        </w:rPr>
        <w:t xml:space="preserve"> no hay API oficial de los bancos para este fin; el servicio depende de formatos de mensaje que pueden cambiar sin aviso.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Restricción R2:</w:t>
      </w:r>
      <w:r>
        <w:rPr>
          <w:rFonts w:ascii="Arial" w:cs="Arial" w:eastAsia="Arial" w:hAnsi="Arial"/>
          <w:sz w:val="21"/>
          <w:szCs w:val="21"/>
        </w:rPr>
        <w:t xml:space="preserve"> hay un solo desarrollador, por lo que el alcance debe permitir terminar cada fase.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Restricción R3:</w:t>
      </w:r>
      <w:r>
        <w:rPr>
          <w:rFonts w:ascii="Arial" w:cs="Arial" w:eastAsia="Arial" w:hAnsi="Arial"/>
          <w:sz w:val="21"/>
          <w:szCs w:val="21"/>
        </w:rPr>
        <w:t xml:space="preserve"> los datos de pagos son sensibles; el diseño debe minimizar lo que se almacena.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Dependencia D1:</w:t>
      </w:r>
      <w:r>
        <w:rPr>
          <w:rFonts w:ascii="Arial" w:cs="Arial" w:eastAsia="Arial" w:hAnsi="Arial"/>
          <w:sz w:val="21"/>
          <w:szCs w:val="21"/>
        </w:rPr>
        <w:t xml:space="preserve"> muestras reales y anonimizadas de notificaciones, obtenidas de cuentas propias o con consentimiento explícito.</w:t>
      </w:r>
    </w:p>
    <w:p>
      <w:pPr>
        <w:spacing w:after="60"/>
      </w:pPr>
    </w:p>
    <w:p>
      <w:pPr>
        <w:pStyle w:val="Heading1"/>
      </w:pPr>
      <w:bookmarkStart w:name="bm13" w:id="14"/>
      <w:r>
        <w:rPr>
          <w:rFonts w:ascii="Arial" w:cs="Arial" w:eastAsia="Arial" w:hAnsi="Arial"/>
        </w:rPr>
        <w:t xml:space="preserve">9. Riesgos iniciales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"/>
        <w:gridCol w:w="3510"/>
        <w:gridCol w:w="780"/>
        <w:gridCol w:w="996"/>
        <w:gridCol w:w="3510"/>
      </w:tblGrid>
      <w:tr>
        <w:trPr>
          <w:cantSplit/>
          <w:tblHeader/>
        </w:trPr>
        <w:tc>
          <w:tcPr>
            <w:tcW w:type="dxa" w:w="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 inicial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RK1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hallazgos de S-0.1 no coinciden con la realidad de campo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Entrevistas reales y reemplazo del informe antes de cerrar el SRS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RK2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formatos de notificación cambian y rompen los parsers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Parsers aislados con pruebas y alertas cuando una notificación no se reconoce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RK3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vía de captura tiene restricciones de la plataforma (por ejemplo, permisos de acceso al correo)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Spike técnico antes de comprometer la arquitectura; ADR de la vía elegida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RK4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Riesgo de privacidad por manejar datos financieros y rechazo del usuario a compartir su correo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Vía controlada por el usuario, minimización, cifrado, política de retención y modelo de amenazas (STRIDE)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RK5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Alcance que crece y el proyecto no se termina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con definición de terminado y puerta de salida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RK6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emisores amplían sus propias herramientas y reducen el valor de Confirma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Enfocarse en lo que ningún emisor cubre (multi-emisor, cajero, cuadre) y revisar el panorama antes de cada fase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14" w:id="15"/>
      <w:r>
        <w:rPr>
          <w:rFonts w:ascii="Arial" w:cs="Arial" w:eastAsia="Arial" w:hAnsi="Arial"/>
        </w:rPr>
        <w:t xml:space="preserve">10. Preguntas abiertas</w:t>
      </w:r>
      <w:bookmarkEnd w:id="15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¿Por qué vía se capta la notificación?</w:t>
      </w:r>
      <w:r>
        <w:rPr>
          <w:rFonts w:ascii="Arial" w:cs="Arial" w:eastAsia="Arial" w:hAnsi="Arial"/>
          <w:sz w:val="21"/>
          <w:szCs w:val="21"/>
        </w:rPr>
        <w:t xml:space="preserve"> Según S-0.1, el rechazo a dar acceso total al correo es el freno principal. Opciones: (a) reenvío automático de correos a una dirección del servicio, controlado por el usuario; (b) lectura del correo con autorización limitada; (c) lectura de notificaciones en un dispositivo Android. Se decide con un spike y un ADR; las exigencias de verificación de las plataformas deben revisarse con su documentación vigente.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</w:t>
      </w:r>
      <w:r>
        <w:rPr>
          <w:rFonts w:ascii="Arial" w:cs="Arial" w:eastAsia="Arial" w:hAnsi="Arial"/>
          <w:sz w:val="21"/>
          <w:szCs w:val="21"/>
        </w:rPr>
        <w:t xml:space="preserve"> ¿Qué emisores cubre el MVP? Depende de qué usan los entrevistados y de las muestras reales disponibles.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</w:t>
      </w:r>
      <w:r>
        <w:rPr>
          <w:rFonts w:ascii="Arial" w:cs="Arial" w:eastAsia="Arial" w:hAnsi="Arial"/>
          <w:sz w:val="21"/>
          <w:szCs w:val="21"/>
        </w:rPr>
        <w:t xml:space="preserve"> ¿La confirmación se hace por monto y hora, o el cajero ingresa una referencia? Depende del flujo real de cobro.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</w:t>
      </w:r>
      <w:r>
        <w:rPr>
          <w:rFonts w:ascii="Arial" w:cs="Arial" w:eastAsia="Arial" w:hAnsi="Arial"/>
          <w:sz w:val="21"/>
          <w:szCs w:val="21"/>
        </w:rPr>
        <w:t xml:space="preserve"> ¿Qué modelo de uso se prueba en el piloto (gratuito, por negocio)? No se decide hasta tener evidencia.</w:t>
      </w:r>
    </w:p>
    <w:p>
      <w:pPr>
        <w:spacing w:after="60"/>
      </w:pPr>
    </w:p>
    <w:p>
      <w:pPr>
        <w:pStyle w:val="Heading1"/>
      </w:pPr>
      <w:bookmarkStart w:name="bm15" w:id="16"/>
      <w:r>
        <w:rPr>
          <w:rFonts w:ascii="Arial" w:cs="Arial" w:eastAsia="Arial" w:hAnsi="Arial"/>
        </w:rPr>
        <w:t xml:space="preserve">11. Hitos de la Fase 0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5"/>
        <w:gridCol w:w="4667"/>
        <w:gridCol w:w="3818"/>
      </w:tblGrid>
      <w:tr>
        <w:trPr>
          <w:cantSplit/>
          <w:tblHeader/>
        </w:trPr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salida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H0.1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Guía de entrevistas y entrevistas realizadas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entrevistas registradas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H0.2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 v1.0 con hipótesis resueltas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Decisión de continuar, replantear o cambiar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H0.3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SRS, historias de usuario, modelo de datos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Requisitos numerados y trazables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H0.4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Arquitectura C4, ADRs iniciales, modelo de amenazas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ADR-0001 con la matriz de versiones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H0.5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Spike de compatibilidad y de la vía de captura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en verde con la matriz fijada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16" w:id="17"/>
      <w:r>
        <w:rPr>
          <w:rFonts w:ascii="Arial" w:cs="Arial" w:eastAsia="Arial" w:hAnsi="Arial"/>
        </w:rPr>
        <w:t xml:space="preserve">12. Glosario</w:t>
      </w:r>
      <w:bookmarkEnd w:id="17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Parser:</w:t>
      </w:r>
      <w:r>
        <w:rPr>
          <w:rFonts w:ascii="Arial" w:cs="Arial" w:eastAsia="Arial" w:hAnsi="Arial"/>
          <w:sz w:val="21"/>
          <w:szCs w:val="21"/>
        </w:rPr>
        <w:t xml:space="preserve"> componente que lee una notificación y extrae sus datos en un formato normalizado.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Idempotencia:</w:t>
      </w:r>
      <w:r>
        <w:rPr>
          <w:rFonts w:ascii="Arial" w:cs="Arial" w:eastAsia="Arial" w:hAnsi="Arial"/>
          <w:sz w:val="21"/>
          <w:szCs w:val="21"/>
        </w:rPr>
        <w:t xml:space="preserve"> propiedad por la cual procesar el mismo mensaje varias veces produce el mismo resultado que procesarlo una sola vez.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Conciliación:</w:t>
      </w:r>
      <w:r>
        <w:rPr>
          <w:rFonts w:ascii="Arial" w:cs="Arial" w:eastAsia="Arial" w:hAnsi="Arial"/>
          <w:sz w:val="21"/>
          <w:szCs w:val="21"/>
        </w:rPr>
        <w:t xml:space="preserve"> emparejar un cobro esperado con un pago recibido.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Multi-tenant:</w:t>
      </w:r>
      <w:r>
        <w:rPr>
          <w:rFonts w:ascii="Arial" w:cs="Arial" w:eastAsia="Arial" w:hAnsi="Arial"/>
          <w:sz w:val="21"/>
          <w:szCs w:val="21"/>
        </w:rPr>
        <w:t xml:space="preserve"> un mismo sistema que atiende a varios negocios manteniendo sus datos aislados.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ADR:</w:t>
      </w:r>
      <w:r>
        <w:rPr>
          <w:rFonts w:ascii="Arial" w:cs="Arial" w:eastAsia="Arial" w:hAnsi="Arial"/>
          <w:sz w:val="21"/>
          <w:szCs w:val="21"/>
        </w:rPr>
        <w:t xml:space="preserve"> registro de una decisión de arquitectura, con su contexto y consecuencias.</w:t>
      </w:r>
    </w:p>
    <w:p>
      <w:pPr>
        <w:spacing w:after="60"/>
      </w:pPr>
    </w:p>
    <w:p>
      <w:pPr>
        <w:pStyle w:val="Heading1"/>
      </w:pPr>
      <w:bookmarkStart w:name="bm17" w:id="18"/>
      <w:r>
        <w:rPr>
          <w:rFonts w:ascii="Arial" w:cs="Arial" w:eastAsia="Arial" w:hAnsi="Arial"/>
        </w:rPr>
        <w:t xml:space="preserve">13. Análisis de alternativas</w:t>
      </w:r>
      <w:bookmarkEnd w:id="18"/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Los emisores ya cubren parte del problema, así que Confirma debe ocupar lo que ninguno cubre. Estado según búsqueda del 11-oct-2026; las fuentes son resultados de búsqueda y deben revisarse antes de decidir.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9"/>
        <w:gridCol w:w="3437"/>
        <w:gridCol w:w="3824"/>
      </w:tblGrid>
      <w:tr>
        <w:trPr>
          <w:cantSplit/>
          <w:tblHeader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cubre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no cubre (hipótesis a validar)</w:t>
            </w:r>
          </w:p>
        </w:tc>
      </w:tr>
      <w:tr>
        <w:trPr>
          <w:cantSplit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Verificador de Nequi (Comprobar un pago)</w:t>
            </w:r>
          </w:p>
        </w:tc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 en menos de 30 s un comprobante escaneando su QR, sin cuenta ni sesión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comprobantes de Nequi; no unifica otros emisores, no da vista al cajero ni libro diario</w:t>
            </w:r>
          </w:p>
        </w:tc>
      </w:tr>
      <w:tr>
        <w:trPr>
          <w:cantSplit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Alertas y notificaciones de Bancolombia</w:t>
            </w:r>
          </w:p>
        </w:tc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Confirmación en tiempo real por celular y correo, e integraciones en el plan avanzado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pagos a cuentas Bancolombia; llegan al titular, no al cajero</w:t>
            </w:r>
          </w:p>
        </w:tc>
      </w:tr>
      <w:tr>
        <w:trPr>
          <w:cantSplit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Bre-B (llaves y QR interoperables)</w:t>
            </w:r>
          </w:p>
        </w:tc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Pagos inmediatos entre entidades del sistema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Estandariza el pago, pero no resuelve por sí solo el cuadre multi-emisor ni la visibilidad del empleado</w:t>
            </w:r>
          </w:p>
        </w:tc>
      </w:tr>
      <w:tr>
        <w:trPr>
          <w:cantSplit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Parlantes que anuncian pagos</w:t>
            </w:r>
          </w:p>
        </w:tc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Aviso audible al llegar un pago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verificar: posiblemente ligados a un proveedor o QR, sin historial ni cuadre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Fuentes (consultadas como resultados de búsqueda, sin abrir la página completa):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mbosfbukbhdoinvuppznm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Publimetro: verificador de comprobantes de Nequi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mwue6kvuxx94a9641vi9e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Bancolombia: código QR para negocios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ot9wofmhfihfo8rgmifma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Blu Radio: QR de Bancolombia y Bre-B</w:t>
        </w:r>
      </w:hyperlink>
    </w:p>
    <w:p>
      <w:pPr>
        <w:spacing w:after="60"/>
      </w:pPr>
    </w:p>
    <w:p>
      <w:pPr>
        <w:pStyle w:val="Heading1"/>
      </w:pPr>
      <w:bookmarkStart w:name="bm18" w:id="19"/>
      <w:r>
        <w:rPr>
          <w:rFonts w:ascii="Arial" w:cs="Arial" w:eastAsia="Arial" w:hAnsi="Arial"/>
        </w:rPr>
        <w:t xml:space="preserve">14. Cambios respecto a la v0.1</w:t>
      </w:r>
      <w:bookmarkEnd w:id="19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Posicionamiento:</w:t>
      </w:r>
      <w:r>
        <w:rPr>
          <w:rFonts w:ascii="Arial" w:cs="Arial" w:eastAsia="Arial" w:hAnsi="Arial"/>
          <w:sz w:val="21"/>
          <w:szCs w:val="21"/>
        </w:rPr>
        <w:t xml:space="preserve"> de detector de pantallazos falsos a confirmación compartida de pagos y libro diario multi-emisor.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Usuario prioritario:</w:t>
      </w:r>
      <w:r>
        <w:rPr>
          <w:rFonts w:ascii="Arial" w:cs="Arial" w:eastAsia="Arial" w:hAnsi="Arial"/>
          <w:sz w:val="21"/>
          <w:szCs w:val="21"/>
        </w:rPr>
        <w:t xml:space="preserve"> negocio pequeño con empleados y varios medios de pago.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Alcance del MVP:</w:t>
      </w:r>
      <w:r>
        <w:rPr>
          <w:rFonts w:ascii="Arial" w:cs="Arial" w:eastAsia="Arial" w:hAnsi="Arial"/>
          <w:sz w:val="21"/>
          <w:szCs w:val="21"/>
        </w:rPr>
        <w:t xml:space="preserve"> rol de cajero, libro diario unificado y detección de fraude como función secundaria.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Captura de pagos (Q1):</w:t>
      </w:r>
      <w:r>
        <w:rPr>
          <w:rFonts w:ascii="Arial" w:cs="Arial" w:eastAsia="Arial" w:hAnsi="Arial"/>
          <w:sz w:val="21"/>
          <w:szCs w:val="21"/>
        </w:rPr>
        <w:t xml:space="preserve"> priorizar una vía controlada por el usuario antes que el acceso completo al correo.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Métricas y riesgos:</w:t>
      </w:r>
      <w:r>
        <w:rPr>
          <w:rFonts w:ascii="Arial" w:cs="Arial" w:eastAsia="Arial" w:hAnsi="Arial"/>
          <w:sz w:val="21"/>
          <w:szCs w:val="21"/>
        </w:rPr>
        <w:t xml:space="preserve"> se agregan cobros confirmados por el cajero, tiempo de cuadre y el riesgo de que los emisores amplíen sus herramientas.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 de origen:</w:t>
      </w:r>
      <w:r>
        <w:rPr>
          <w:rFonts w:ascii="Arial" w:cs="Arial" w:eastAsia="Arial" w:hAnsi="Arial"/>
          <w:sz w:val="21"/>
          <w:szCs w:val="21"/>
        </w:rPr>
        <w:t xml:space="preserve"> el informe S-0.1 es un escenario de trabajo; todo lo que dependa de él se revisa con las entrevistas reales.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Uso interno · Borrador de trabajo</w:t>
    </w:r>
    <w:r>
      <w:rPr>
        <w:rFonts w:ascii="Arial" w:cs="Arial" w:eastAsia="Arial" w:hAnsi="Arial"/>
        <w:color w:val="595959"/>
        <w:sz w:val="16"/>
        <w:szCs w:val="16"/>
      </w:rPr>
      <w:tab/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color w:val="595959"/>
        <w:sz w:val="16"/>
        <w:szCs w:val="16"/>
      </w:rPr>
      <w:t xml:space="preserve">Confirma — PRD</w:t>
    </w:r>
    <w:r>
      <w:rPr>
        <w:rFonts w:ascii="Arial" w:cs="Arial" w:eastAsia="Arial" w:hAnsi="Arial"/>
        <w:color w:val="595959"/>
        <w:sz w:val="16"/>
        <w:szCs w:val="16"/>
      </w:rPr>
      <w:tab/>
      <w:t xml:space="preserve">CNF-PRD-001  ·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496" w:sz="6" w:space="3"/>
      </w:pBdr>
      <w:spacing w:after="14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FrontH">
    <w:name w:val="Front Heading"/>
    <w:basedOn w:val="Normal"/>
    <w:next w:val="Normal"/>
    <w:pPr>
      <w:keepNext/>
      <w:pBdr>
        <w:bottom w:val="single" w:color="2F5496" w:sz="6" w:space="3"/>
      </w:pBdr>
      <w:spacing w:after="160" w:before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FrontS">
    <w:name w:val="Front Sub"/>
    <w:basedOn w:val="Normal"/>
    <w:next w:val="Normal"/>
    <w:pPr>
      <w:keepNext/>
      <w:spacing w:after="100" w:before="220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bosfbukbhdoinvuppznm" Type="http://schemas.openxmlformats.org/officeDocument/2006/relationships/hyperlink" Target="https://www.publimetro.co/noticias/2025/09/16/le-pagaron-con-nequi-asi-puede-saber-en-30-segundos-si-el-comprobante-es-real-o-falso/" TargetMode="External"/><Relationship Id="rIdmwue6kvuxx94a9641vi9e" Type="http://schemas.openxmlformats.org/officeDocument/2006/relationships/hyperlink" Target="https://www.bancolombia.com/pagos/codigo-qr/generarUsa" TargetMode="External"/><Relationship Id="rIdot9wofmhfihfo8rgmifma" Type="http://schemas.openxmlformats.org/officeDocument/2006/relationships/hyperlink" Target="https://www.bluradio.com/economia/finanzas-personales/bancolombia-advierte-cambios-en-sus-servicios-asi-funcionaran-desde-ahora-estos-pagos-so35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 — Documento de requisitos del producto (PRD)</dc:title>
  <dc:creator>Edwin Carabalí</dc:creator>
  <dc:description>CNF-PRD-001 v0.2</dc:description>
  <cp:lastModifiedBy>Un-named</cp:lastModifiedBy>
  <cp:revision>1</cp:revision>
  <dcterms:created xsi:type="dcterms:W3CDTF">2026-10-12T01:03:20.963Z</dcterms:created>
  <dcterms:modified xsi:type="dcterms:W3CDTF">2026-10-12T01:03:20.963Z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