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基于优化 TDCA 算法的 SSVEP 脑电识别技术创新报告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一、实验数据集</w:t>
      </w:r>
    </w:p>
    <w:p>
      <w:r>
        <w:rPr>
          <w:rFonts w:ascii="宋体" w:hAnsi="宋体" w:eastAsia="宋体"/>
          <w:b w:val="0"/>
          <w:sz w:val="21"/>
        </w:rPr>
        <w:t>本实验使用本地 Benchmark SSVEP 数据集，路径为 E:/世界机器人大赛/benchmark。数据共包含 35 个被试，每个被试文件的 data 字段维度为 64 × 1500 × 40 × 6，分别对应 64 个 EEG 通道、1500 个采样点、40 个刺激目标和 6 个实验 block。采样率为 250 Hz。</w:t>
      </w:r>
    </w:p>
    <w:p>
      <w:r>
        <w:rPr>
          <w:rFonts w:ascii="宋体" w:hAnsi="宋体" w:eastAsia="宋体"/>
          <w:b w:val="0"/>
          <w:sz w:val="21"/>
        </w:rPr>
        <w:t>40 个目标频率按 Benchmark 数据维度中的实际顺序排列：8, 9, ..., 15, 8.2, 9.2, ..., 15.2, ..., 8.8, 9.8, ..., 15.8 Hz。本报告使用全部 35 个被试完成完整验证。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二、预处理与验证方式</w:t>
      </w:r>
    </w:p>
    <w:p>
      <w:r>
        <w:rPr>
          <w:rFonts w:ascii="宋体" w:hAnsi="宋体" w:eastAsia="宋体"/>
          <w:b w:val="0"/>
          <w:sz w:val="21"/>
        </w:rPr>
        <w:t>实验采用 9 个枕顶区 SSVEP 常用通道：PZ、PO5、PO3、POZ、PO4、PO6、O1、OZ、O2。切窗时跳过 0.5 s 预刺激段，并补偿 0.14 s 视觉延迟，然后分别截取 0.3 s、0.5 s、1 s、2 s、4 s 的 EEG 片段。</w:t>
      </w:r>
    </w:p>
    <w:p>
      <w:r>
        <w:rPr>
          <w:rFonts w:ascii="宋体" w:hAnsi="宋体" w:eastAsia="宋体"/>
          <w:b w:val="0"/>
          <w:sz w:val="21"/>
        </w:rPr>
        <w:t>验证采用被试内留一 block 交叉验证。每次选择 1 个 block 作为测试集，其余 5 个 block 作为训练集。每个被试每个窗口每个算法测试 240 个 trial；完整实验共得到 5250 条 block 级结果。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三、对比算法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CCA：标准典型相关分析，使用 5 个谐波构造正余弦参考信号。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FBCCA：滤波器组 CCA，使用多个子带滤波后进行相关分数融合。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TDCA：论文式 TDCA，包括滤波器组、时间延迟嵌入、参考信号投影增强、DSP 判别空间滤波和模板相关分类。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ImprovedTDCA：TDCA 判别模板分支 + FBCCA 参考相关分支 + 训练集内融合权重校准 + 2 个判别分量。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TriBranchTDCA：TDCA 判别模板分支 + FBCCA 参考相关分支 + FBTRCA 跨 trial 相关分支 + 训练集内融合权重校准。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四、完整 Benchmark 结果</w:t>
      </w:r>
    </w:p>
    <w:p>
      <w:r>
        <w:rPr>
          <w:rFonts w:ascii="宋体" w:hAnsi="宋体" w:eastAsia="宋体"/>
          <w:b w:val="0"/>
          <w:sz w:val="21"/>
        </w:rPr>
        <w:t>表 1：每个时间窗的最优算法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窗口(s)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最高准确率算法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最高准确率(%)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最高ITR算法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最高ITR(bits/min)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68.929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587.705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83.298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471.738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96.155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297.765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99.083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156.561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99.548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79.048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表 2：35 个被试的完整平均结果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窗口(s)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算法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准确率(%)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标准差(%)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ITR(bits/min)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Top-2间隔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被试数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68.929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19.940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587.705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0.706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67.405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21.027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571.009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0.789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67.310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20.220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567.673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0.637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FBCCA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6.476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2.942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11.733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0.226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5.738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3.165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10.589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0.096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83.298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16.612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471.738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1.085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82.702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17.915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468.209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1.191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82.060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17.186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460.603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0.908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FBCCA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21.524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12.257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60.710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0.296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14.202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8.131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30.178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0.122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96.155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7.658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297.765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2.584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95.976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7.244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296.434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2.489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95.667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7.842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294.970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1.957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FBCCA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66.024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22.172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167.026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0.711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47.833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20.797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103.466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0.256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99.083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1.178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156.561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3.703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98.786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1.989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155.727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3.783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98.690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1.825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155.360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2.882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FBCCA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90.202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13.430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134.647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2.139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77.643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21.594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107.742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99.548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0.696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79.048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4.555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99.512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0.610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78.989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4.478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TDCA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99.321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78.645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3.951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FBCCA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98.179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3.375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77.071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4.071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4.000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CCA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90.619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13.127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67.933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2.801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32"/>
        </w:rPr>
        <w:t>五、相对 TDCA 的提升统计</w:t>
      </w:r>
    </w:p>
    <w:p>
      <w:r>
        <w:rPr>
          <w:rFonts w:ascii="宋体" w:hAnsi="宋体" w:eastAsia="宋体"/>
          <w:b w:val="0"/>
          <w:sz w:val="21"/>
        </w:rPr>
        <w:t>表 3：ImprovedTDCA 和 TriBranchTDCA 相对标准 TDCA 的被试内配对统计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窗口(s)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比较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平均提升(百分点)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提升被试数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持平被试数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下降被试数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配对t检验p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Wilcoxon p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0.300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 - TDCA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1.619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0.300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 - TDCA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0.095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0.896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0.416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0.500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 - TDCA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1.238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0.002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0.500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 - TDCA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0.643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0.304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0.052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 - TDCA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0.310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0.168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0.380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 - TDCA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0.488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0.012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0.016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2.000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 - TDCA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0.095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0.353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0.463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2.000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 - TDCA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0.393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0.004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4.000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ImprovedTDCA - TDCA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0.226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0.018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0.039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4.000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TriBranchTDCA - TDCA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0.190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0.003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0.006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32"/>
        </w:rPr>
        <w:t>六、主要结论</w:t>
      </w:r>
    </w:p>
    <w:p>
      <w:r>
        <w:rPr>
          <w:rFonts w:ascii="宋体" w:hAnsi="宋体" w:eastAsia="宋体"/>
          <w:b w:val="0"/>
          <w:sz w:val="21"/>
        </w:rPr>
        <w:t>完整 35 被试结果显示，0.3 s 与 0.5 s 极短窗下 ImprovedTDCA 的平均准确率最高；1 s 和 2 s 下 TriBranchTDCA 的平均准确率最高；4 s 长窗下 ImprovedTDCA 略高。</w:t>
      </w:r>
    </w:p>
    <w:p>
      <w:r>
        <w:rPr>
          <w:rFonts w:ascii="宋体" w:hAnsi="宋体" w:eastAsia="宋体"/>
          <w:b w:val="0"/>
          <w:sz w:val="21"/>
        </w:rPr>
        <w:t>在 1 s 窗口中，TDCA、ImprovedTDCA 和 TriBranchTDCA 均接近天花板，但 TriBranchTDCA 将平均准确率从 TDCA 的 95.67% 提升到 96.15%，平均 ITR 从 294.97 bits/min 提升到 297.77 bits/min，同时 Top-2 分类间隔也更大。</w:t>
      </w:r>
    </w:p>
    <w:p>
      <w:r>
        <w:rPr>
          <w:rFonts w:ascii="宋体" w:hAnsi="宋体" w:eastAsia="宋体"/>
          <w:b w:val="0"/>
          <w:sz w:val="21"/>
        </w:rPr>
        <w:t>在 0.5 s 窗口中，ImprovedTDCA 将平均准确率从 TDCA 的 82.06% 提升到 83.30%，平均 ITR 从 460.60 bits/min 提升到 471.74 bits/min。这说明短窗实时解码中，加入 FBCCA 参考相关分支和训练集内校准融合可以带来稳定增益。</w:t>
      </w:r>
    </w:p>
    <w:p>
      <w:r>
        <w:rPr>
          <w:rFonts w:ascii="宋体" w:hAnsi="宋体" w:eastAsia="宋体"/>
          <w:b w:val="0"/>
          <w:sz w:val="21"/>
        </w:rPr>
        <w:t>综合准确率、ITR 与短窗稳定性，本系统建议采用分段策略：0.3 s、0.5 s 和 4 s 使用 ImprovedTDCA，1 s 和 2 s 使用 TriBranchTDCA。如果工程部署需要统一模型，则优先选择 TriBranchTDCA，因为其在 1 s 和 2 s 实时控制窗口上表现最佳。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七、结果图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完整 Benchmark 平均准确率</w:t>
      </w:r>
    </w:p>
    <w:p>
      <w:r>
        <w:drawing>
          <wp:inline xmlns:a="http://schemas.openxmlformats.org/drawingml/2006/main" xmlns:pic="http://schemas.openxmlformats.org/drawingml/2006/picture">
            <wp:extent cx="5760720" cy="3037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宋体" w:hAnsi="宋体" w:eastAsia="宋体"/>
          <w:b/>
          <w:sz w:val="26"/>
        </w:rPr>
        <w:t>完整 Benchmark 平均 ITR</w:t>
      </w:r>
    </w:p>
    <w:p>
      <w:r>
        <w:drawing>
          <wp:inline xmlns:a="http://schemas.openxmlformats.org/drawingml/2006/main" xmlns:pic="http://schemas.openxmlformats.org/drawingml/2006/picture">
            <wp:extent cx="5760720" cy="3037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it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宋体" w:hAnsi="宋体" w:eastAsia="宋体"/>
          <w:b/>
          <w:sz w:val="26"/>
        </w:rPr>
        <w:t>完整 Benchmark Top-2 分类间隔</w:t>
      </w:r>
    </w:p>
    <w:p>
      <w:r>
        <w:drawing>
          <wp:inline xmlns:a="http://schemas.openxmlformats.org/drawingml/2006/main" xmlns:pic="http://schemas.openxmlformats.org/drawingml/2006/picture">
            <wp:extent cx="5760720" cy="3037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mar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宋体" w:hAnsi="宋体" w:eastAsia="宋体"/>
          <w:b/>
          <w:sz w:val="32"/>
        </w:rPr>
        <w:t>八、结果文件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ssvep_results/full_benchmark/block_metrics.csv：block 级完整结果。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ssvep_results/full_benchmark/trial_predictions.csv：trial 级预测结果。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ssvep_results/full_benchmark/subject_summary.csv：每个被试的平均结果。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ssvep_results/full_benchmark/method_summary.csv：35 个被试的算法汇总。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ssvep_results/full_benchmark/full_accuracy.png：完整准确率图。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ssvep_results/full_benchmark/full_itr.png：完整 ITR 图。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ssvep_results/full_benchmark/full_margin.png：完整 Top-2 间隔图。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