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1E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40"/>
          <w:szCs w:val="40"/>
          <w:bdr w:val="none" w:color="auto" w:sz="0" w:space="0"/>
          <w:shd w:val="clear" w:fill="FFFFFF"/>
          <w:lang w:val="en-US" w:eastAsia="zh-CN" w:bidi="ar"/>
        </w:rPr>
        <w:t>金属非金属矿山重大事故隐患判定标准</w:t>
      </w:r>
    </w:p>
    <w:p w14:paraId="6E467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40"/>
          <w:szCs w:val="40"/>
          <w:bdr w:val="none" w:color="auto" w:sz="0" w:space="0"/>
          <w:shd w:val="clear" w:fill="FFFFFF"/>
          <w:lang w:val="en-US" w:eastAsia="zh-CN" w:bidi="ar"/>
        </w:rPr>
        <w:t>补充情形</w:t>
      </w:r>
    </w:p>
    <w:p w14:paraId="2935C7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3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一、金属非金属地下矿山重大事故隐患</w:t>
      </w:r>
    </w:p>
    <w:p w14:paraId="7C418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（一）地表距进风井口和平硐口50m范围内存放油料或其他易燃、易爆材料。</w:t>
      </w:r>
    </w:p>
    <w:p w14:paraId="1A3E04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（二）受地表水威胁的矿井，未查清矿山及周边地面裂缝、废弃井巷、封闭不良钻孔、采空区、水力联系通道等隐蔽致灾因素或者未采取有效治理措施，在井下受威胁区域组织生产建设。</w:t>
      </w:r>
    </w:p>
    <w:p w14:paraId="314AA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（三）办公区、生活区等人员集聚场所设在危崖、塌陷区、崩落区，或洪水、泥石流、滑坡等灾害威胁范围内。</w:t>
      </w:r>
    </w:p>
    <w:p w14:paraId="401FB7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（四）遇极端天气地下矿山未及时停止作业、撤出现场作业人员。</w:t>
      </w:r>
    </w:p>
    <w:p w14:paraId="631658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3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二、金属非金属露天矿山重大事故隐患</w:t>
      </w:r>
    </w:p>
    <w:p w14:paraId="1A255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（一）办公区、生活区等人员集聚场所设在危崖、塌陷区、崩落区，或洪水、泥石流、滑坡等灾害威胁范围内。</w:t>
      </w:r>
    </w:p>
    <w:p w14:paraId="3554BC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（二）遇极端天气露天矿山未及时停止作业、撤出现场作业人员。</w:t>
      </w:r>
    </w:p>
    <w:p w14:paraId="46A00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3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三、尾矿库重大事故隐患</w:t>
      </w:r>
    </w:p>
    <w:p w14:paraId="745C5D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（一）尾矿库排洪构筑物拱板（盖板）与周边结构缝隙未采用设计材料充满充实的，或封堵体设置在井顶、井身段或斜槽顶、槽身段。</w:t>
      </w:r>
    </w:p>
    <w:p w14:paraId="36D2A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13" w:afterAutospacing="0" w:line="560" w:lineRule="atLeast"/>
        <w:ind w:left="0" w:right="0" w:firstLine="64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42"/>
          <w:szCs w:val="4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（二）遇极端天气尾矿库未及时停止作业、撤出现场作业人员。</w:t>
      </w:r>
    </w:p>
    <w:p w14:paraId="292CBA03">
      <w:pPr>
        <w:keepNext w:val="0"/>
        <w:keepLines w:val="0"/>
        <w:widowControl/>
        <w:suppressLineNumbers w:val="0"/>
        <w:jc w:val="left"/>
      </w:pPr>
    </w:p>
    <w:p w14:paraId="54D61B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DF6514"/>
    <w:rsid w:val="5BCF09A9"/>
    <w:rsid w:val="77DF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2026-04-14T14:36:00Z</dcterms:created>
  <dc:creator>戚佳怡</dc:creator>
  <cp:lastModifiedBy>戚佳怡</cp:lastModifiedBy>
  <dcterms:modified xsi:type="dcterms:W3CDTF">2026-04-14T14:36:50Z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78A0CCAB0FDF019770E0DD69B5DBFE79_41</vt:lpwstr>
  </property>
</Properties>
</file>