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9"/>
        <w:rPr>
          <w:rFonts w:ascii="黑体;SimHei" w:hAnsi="黑体;SimHei" w:eastAsia="黑体;SimHei" w:cs="黑体;SimHei"/>
        </w:rPr>
      </w:pPr>
      <w:r>
        <w:rPr>
          <w:rFonts w:ascii="黑体;SimHei" w:hAnsi="黑体;SimHei" w:cs="黑体;SimHei" w:eastAsia="黑体;SimHei"/>
        </w:rPr>
        <w:t>普通商密（根据内容涉密情况标注，采用三号黑体，不加粗）</w:t>
      </w:r>
    </w:p>
    <w:p>
      <w:pPr>
        <w:pStyle w:val="Normal"/>
        <w:spacing w:lineRule="exact" w:line="579"/>
        <w:rPr>
          <w:rFonts w:ascii="黑体;SimHei" w:hAnsi="黑体;SimHei" w:eastAsia="黑体;SimHei" w:cs="黑体;SimHei"/>
        </w:rPr>
      </w:pPr>
      <w:r>
        <w:rPr>
          <w:rFonts w:eastAsia="黑体;SimHei" w:cs="黑体;SimHei" w:ascii="黑体;SimHei" w:hAnsi="黑体;SimHei"/>
        </w:rPr>
      </w:r>
    </w:p>
    <w:p>
      <w:pPr>
        <w:pStyle w:val="Normal"/>
        <w:spacing w:lineRule="exact" w:line="579"/>
        <w:jc w:val="center"/>
        <w:rPr>
          <w:rFonts w:ascii="方正小标宋简体" w:hAnsi="方正小标宋简体" w:eastAsia="方正小标宋简体" w:cs="方正小标宋_GBK;Microsoft YaHei UI"/>
          <w:sz w:val="44"/>
          <w:szCs w:val="44"/>
        </w:rPr>
      </w:pPr>
      <w:r>
        <w:rPr>
          <w:rFonts w:ascii="方正小标宋简体" w:hAnsi="方正小标宋简体" w:cs="方正小标宋_GBK;Microsoft YaHei UI" w:eastAsia="方正小标宋简体"/>
          <w:sz w:val="44"/>
          <w:szCs w:val="44"/>
        </w:rPr>
        <w:t>关于……的报告</w:t>
      </w:r>
      <w:r>
        <w:rPr>
          <w:rFonts w:eastAsia="方正小标宋简体" w:cs="方正小标宋_GBK;Microsoft YaHei UI" w:ascii="方正小标宋简体" w:hAnsi="方正小标宋简体"/>
          <w:sz w:val="44"/>
          <w:szCs w:val="44"/>
        </w:rPr>
        <w:t>/</w:t>
      </w:r>
      <w:r>
        <w:rPr>
          <w:rFonts w:ascii="方正小标宋简体" w:hAnsi="方正小标宋简体" w:cs="方正小标宋_GBK;Microsoft YaHei UI" w:eastAsia="方正小标宋简体"/>
          <w:sz w:val="44"/>
          <w:szCs w:val="44"/>
        </w:rPr>
        <w:t>请示</w:t>
      </w:r>
    </w:p>
    <w:p>
      <w:pPr>
        <w:pStyle w:val="Normal"/>
        <w:spacing w:lineRule="exact" w:line="579"/>
        <w:jc w:val="center"/>
        <w:rPr>
          <w:rFonts w:ascii="方正小标宋简体" w:hAnsi="方正小标宋简体" w:eastAsia="方正小标宋简体" w:cs="方正小标宋_GBK;Microsoft YaHei UI"/>
          <w:sz w:val="44"/>
          <w:szCs w:val="44"/>
        </w:rPr>
      </w:pPr>
      <w:r>
        <w:rPr>
          <w:rFonts w:ascii="方正小标宋简体" w:hAnsi="方正小标宋简体" w:cs="方正小标宋_GBK;Microsoft YaHei UI" w:eastAsia="方正小标宋简体"/>
          <w:sz w:val="44"/>
          <w:szCs w:val="44"/>
        </w:rPr>
        <w:t>（标题采用二号方正小标宋简体，不加粗）</w:t>
      </w:r>
    </w:p>
    <w:p>
      <w:pPr>
        <w:pStyle w:val="Normal"/>
        <w:spacing w:lineRule="exact" w:line="579"/>
        <w:rPr>
          <w:rFonts w:ascii="方正小标宋简体" w:hAnsi="方正小标宋简体" w:eastAsia="方正小标宋简体" w:cs="方正小标宋_GBK;Microsoft YaHei UI"/>
          <w:sz w:val="44"/>
          <w:szCs w:val="44"/>
        </w:rPr>
      </w:pPr>
      <w:r>
        <w:rPr>
          <w:rFonts w:eastAsia="方正小标宋简体" w:cs="方正小标宋_GBK;Microsoft YaHei UI" w:ascii="方正小标宋简体" w:hAnsi="方正小标宋简体"/>
          <w:sz w:val="44"/>
          <w:szCs w:val="44"/>
        </w:rPr>
      </w:r>
    </w:p>
    <w:p>
      <w:pPr>
        <w:pStyle w:val="Normal"/>
        <w:spacing w:lineRule="exact" w:line="579"/>
        <w:rPr/>
      </w:pPr>
      <w:r>
        <w:rPr/>
        <w:t>中国太平保险集团有限责任公司（三号仿宋</w:t>
      </w:r>
      <w:r>
        <w:rPr/>
        <w:t>GB2312</w:t>
      </w:r>
      <w:r>
        <w:rPr/>
        <w:t>，不加粗）：</w:t>
      </w:r>
    </w:p>
    <w:p>
      <w:pPr>
        <w:pStyle w:val="Normal"/>
        <w:spacing w:lineRule="exact" w:line="579"/>
        <w:rPr/>
      </w:pPr>
      <w:r>
        <w:rPr/>
        <w:t>（报告</w:t>
      </w:r>
      <w:r>
        <w:rPr/>
        <w:t>/</w:t>
      </w:r>
      <w:r>
        <w:rPr/>
        <w:t>请示对象须使用机关全称或规范的简称，顶格排版）</w:t>
      </w:r>
    </w:p>
    <w:p>
      <w:pPr>
        <w:pStyle w:val="Normal"/>
        <w:spacing w:lineRule="exact" w:line="579"/>
        <w:ind w:firstLine="632" w:end="0"/>
        <w:rPr/>
      </w:pPr>
      <w:r>
        <w:rPr/>
        <w:t>正文内容正文内容正文内容正文内容正文内容正文内容正文内容正文内容正文内容正文内容正文内容正文内容正文内容正文内容正文内容正文内容正文内容。</w:t>
      </w:r>
    </w:p>
    <w:p>
      <w:pPr>
        <w:pStyle w:val="Normal"/>
        <w:spacing w:lineRule="exact" w:line="579"/>
        <w:ind w:firstLine="632" w:end="0"/>
        <w:rPr/>
      </w:pPr>
      <w:r>
        <w:rPr/>
        <w:t>（正文采用三号仿宋</w:t>
      </w:r>
      <w:r>
        <w:rPr/>
        <w:t>GB2312</w:t>
      </w:r>
      <w:r>
        <w:rPr/>
        <w:t>，不加粗</w:t>
      </w:r>
      <w:r>
        <w:rPr/>
        <w:t>）</w:t>
      </w:r>
    </w:p>
    <w:p>
      <w:pPr>
        <w:pStyle w:val="Normal"/>
        <w:spacing w:lineRule="exact" w:line="579"/>
        <w:ind w:firstLine="632" w:end="0"/>
        <w:rPr/>
      </w:pPr>
      <w:r>
        <w:rPr/>
        <w:t>（段落首行缩进</w:t>
      </w:r>
      <w:r>
        <w:rPr/>
        <w:t>2</w:t>
      </w:r>
      <w:r>
        <w:rPr/>
        <w:t>字符，行距</w:t>
      </w:r>
      <w:r>
        <w:rPr/>
        <w:t>28.95</w:t>
      </w:r>
      <w:r>
        <w:rPr/>
        <w:t>磅）</w:t>
      </w:r>
    </w:p>
    <w:p>
      <w:pPr>
        <w:pStyle w:val="Normal"/>
        <w:spacing w:lineRule="exact" w:line="579"/>
        <w:ind w:firstLine="632" w:end="0"/>
        <w:rPr/>
      </w:pPr>
      <w:r>
        <w:rPr/>
        <w:t>（页边距上</w:t>
      </w:r>
      <w:r>
        <w:rPr/>
        <w:t>3.7</w:t>
      </w:r>
      <w:r>
        <w:rPr/>
        <w:t>厘米，下</w:t>
      </w:r>
      <w:r>
        <w:rPr/>
        <w:t>3.5</w:t>
      </w:r>
      <w:r>
        <w:rPr/>
        <w:t>厘米，左右</w:t>
      </w:r>
      <w:r>
        <w:rPr/>
        <w:t>2.6</w:t>
      </w:r>
      <w:r>
        <w:rPr/>
        <w:t>厘米</w:t>
      </w:r>
      <w:r>
        <w:rPr/>
        <w:t>，左侧装订线</w:t>
      </w:r>
      <w:r>
        <w:rPr/>
        <w:t>0</w:t>
      </w:r>
      <w:r>
        <w:rPr/>
        <w:t>.2</w:t>
      </w:r>
      <w:r>
        <w:rPr/>
        <w:t>厘米</w:t>
      </w:r>
      <w:r>
        <w:rPr/>
        <w:t>）</w:t>
      </w:r>
    </w:p>
    <w:p>
      <w:pPr>
        <w:pStyle w:val="Normal"/>
        <w:spacing w:lineRule="exact" w:line="579"/>
        <w:ind w:firstLine="632" w:end="0"/>
        <w:rPr>
          <w:rFonts w:ascii="黑体;SimHei" w:hAnsi="黑体;SimHei" w:eastAsia="黑体;SimHei" w:cs="黑体;SimHei"/>
        </w:rPr>
      </w:pPr>
      <w:r>
        <w:rPr>
          <w:rFonts w:ascii="黑体;SimHei" w:hAnsi="黑体;SimHei" w:cs="黑体;SimHei" w:eastAsia="黑体;SimHei"/>
        </w:rPr>
        <w:t>一、一级标题采用三号黑体，不加粗，不加句号</w:t>
      </w:r>
    </w:p>
    <w:p>
      <w:pPr>
        <w:pStyle w:val="Normal"/>
        <w:spacing w:lineRule="exact" w:line="579"/>
        <w:ind w:firstLine="634" w:end="0"/>
        <w:rPr>
          <w:rFonts w:ascii="楷体_GB2312" w:hAnsi="楷体_GB2312" w:eastAsia="楷体_GB2312"/>
          <w:b/>
        </w:rPr>
      </w:pPr>
      <w:r>
        <w:rPr>
          <w:rFonts w:ascii="楷体_GB2312" w:hAnsi="楷体_GB2312" w:eastAsia="楷体_GB2312"/>
          <w:b/>
        </w:rPr>
        <w:t>（二）二级标题采用三号楷体</w:t>
      </w:r>
      <w:r>
        <w:rPr>
          <w:rFonts w:eastAsia="楷体_GB2312" w:ascii="楷体_GB2312" w:hAnsi="楷体_GB2312"/>
          <w:b/>
        </w:rPr>
        <w:t>GB2312</w:t>
      </w:r>
      <w:r>
        <w:rPr>
          <w:rFonts w:ascii="楷体_GB2312" w:hAnsi="楷体_GB2312" w:eastAsia="楷体_GB2312"/>
          <w:b/>
        </w:rPr>
        <w:t>，加粗</w:t>
      </w:r>
    </w:p>
    <w:p>
      <w:pPr>
        <w:pStyle w:val="Normal"/>
        <w:spacing w:lineRule="exact" w:line="579"/>
        <w:ind w:firstLine="632" w:end="0"/>
        <w:rPr/>
      </w:pPr>
      <w:r>
        <w:rPr/>
        <w:t>正文采用三号仿宋</w:t>
      </w:r>
      <w:r>
        <w:rPr/>
        <w:t>GB2312</w:t>
      </w:r>
      <w:r>
        <w:rPr/>
        <w:t>，不加粗</w:t>
      </w:r>
    </w:p>
    <w:p>
      <w:pPr>
        <w:pStyle w:val="Normal"/>
        <w:spacing w:lineRule="exact" w:line="579"/>
        <w:ind w:firstLine="632" w:end="0"/>
        <w:rPr/>
      </w:pPr>
      <w:r>
        <w:rPr/>
        <w:t>特此报告</w:t>
      </w:r>
      <w:r>
        <w:rPr/>
        <w:t xml:space="preserve"> </w:t>
      </w:r>
      <w:r>
        <w:rPr/>
        <w:t xml:space="preserve">/ </w:t>
      </w:r>
      <w:r>
        <w:rPr/>
        <w:t>妥否，请批示。</w:t>
      </w:r>
    </w:p>
    <w:p>
      <w:pPr>
        <w:pStyle w:val="Normal"/>
        <w:spacing w:lineRule="exact" w:line="579"/>
        <w:rPr/>
      </w:pPr>
      <w:r>
        <w:rPr/>
      </w:r>
    </w:p>
    <w:p>
      <w:pPr>
        <w:pStyle w:val="Normal"/>
        <w:spacing w:lineRule="exact" w:line="579"/>
        <w:rPr/>
      </w:pPr>
      <w:r>
        <w:rPr/>
      </w:r>
    </w:p>
    <w:p>
      <w:pPr>
        <w:pStyle w:val="Normal"/>
        <w:spacing w:lineRule="exact" w:line="579"/>
        <w:jc w:val="end"/>
        <w:rPr/>
      </w:pPr>
      <w:r>
        <w:rPr/>
        <w:t>太平资产管理有限公司（报告</w:t>
      </w:r>
      <w:r>
        <w:rPr/>
        <w:t>/</w:t>
      </w:r>
      <w:r>
        <w:rPr/>
        <w:t>请示机构）</w:t>
      </w:r>
    </w:p>
    <w:p>
      <w:pPr>
        <w:pStyle w:val="Normal"/>
        <w:spacing w:lineRule="exact" w:line="579"/>
        <w:jc w:val="end"/>
        <w:rPr/>
      </w:pPr>
      <w:r>
        <w:rPr/>
        <w:t>2</w:t>
      </w:r>
      <w:r>
        <w:rPr/>
        <w:t>024</w:t>
      </w:r>
      <w:r>
        <w:rPr/>
        <w:t xml:space="preserve">年 </w:t>
      </w:r>
      <w:r>
        <w:rPr/>
        <w:t xml:space="preserve"> </w:t>
      </w:r>
      <w:r>
        <w:rPr/>
        <w:t xml:space="preserve">月 </w:t>
      </w:r>
      <w:r>
        <w:rPr/>
        <w:t xml:space="preserve"> </w:t>
      </w:r>
      <w:r>
        <w:rPr/>
        <w:t>日（报告</w:t>
      </w:r>
      <w:r>
        <w:rPr/>
        <w:t>/</w:t>
      </w:r>
      <w:r>
        <w:rPr/>
        <w:t>请示</w:t>
      </w:r>
      <w:r>
        <w:rPr/>
        <w:t>日期）</w:t>
      </w:r>
    </w:p>
    <w:sectPr>
      <w:footerReference w:type="default" r:id="rId2"/>
      <w:type w:val="nextPage"/>
      <w:pgSz w:w="11906" w:h="16838"/>
      <w:pgMar w:left="1474" w:right="1474" w:gutter="113" w:header="0" w:top="2098" w:footer="147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Calibri">
    <w:charset w:val="00" w:characterSet="windows-1252"/>
    <w:family w:val="swiss"/>
    <w:pitch w:val="variable"/>
  </w:font>
  <w:font w:name="黑体">
    <w:altName w:val="SimHei"/>
    <w:charset w:val="86"/>
    <w:family w:val="modern"/>
    <w:pitch w:val="default"/>
  </w:font>
  <w:font w:name="方正小标宋简体">
    <w:charset w:val="86"/>
    <w:family w:val="auto"/>
    <w:pitch w:val="variable"/>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46"/>
      <w:rPr>
        <w:sz w:val="28"/>
      </w:rPr>
    </w:pPr>
    <w:r>
      <w:rPr>
        <w:sz w:val="28"/>
      </w:rPr>
    </w:r>
    <w:r>
      <mc:AlternateContent>
        <mc:Choice Requires="wps">
          <w:drawing>
            <wp:anchor behindDoc="1" distT="0" distB="0" distL="114935" distR="0" simplePos="0" locked="0" layoutInCell="0" allowOverlap="1" relativeHeight="3">
              <wp:simplePos x="0" y="0"/>
              <wp:positionH relativeFrom="margin">
                <wp:align>right</wp:align>
              </wp:positionH>
              <wp:positionV relativeFrom="paragraph">
                <wp:posOffset>635</wp:posOffset>
              </wp:positionV>
              <wp:extent cx="980440" cy="318770"/>
              <wp:effectExtent l="0" t="0" r="0" b="0"/>
              <wp:wrapNone/>
              <wp:docPr id="1" name="Frame1"/>
              <a:graphic xmlns:a="http://schemas.openxmlformats.org/drawingml/2006/main">
                <a:graphicData uri="http://schemas.microsoft.com/office/word/2010/wordprocessingShape">
                  <wps:wsp>
                    <wps:cNvSpPr txBox="1"/>
                    <wps:spPr>
                      <a:xfrm>
                        <a:off x="0" y="0"/>
                        <a:ext cx="980440" cy="318770"/>
                      </a:xfrm>
                      <a:prstGeom prst="rect"/>
                      <a:solidFill>
                        <a:srgbClr val="FFFFFF">
                          <a:alpha val="0"/>
                        </a:srgbClr>
                      </a:solidFill>
                    </wps:spPr>
                    <wps:txbx>
                      <w:txbxContent>
                        <w:p>
                          <w:pPr>
                            <w:pStyle w:val="Footer"/>
                            <w:spacing w:lineRule="exact" w:line="500"/>
                            <w:ind w:start="320" w:end="320"/>
                            <w:rPr/>
                          </w:pPr>
                          <w:r>
                            <w:rPr>
                              <w:rFonts w:cs="仿宋_GB2312"/>
                              <w:sz w:val="28"/>
                            </w:rPr>
                            <w:t>—</w:t>
                          </w:r>
                          <w:r>
                            <w:rPr>
                              <w:sz w:val="28"/>
                            </w:rPr>
                            <w:t xml:space="preserve"> </w:t>
                          </w:r>
                          <w:r>
                            <w:rPr>
                              <w:rFonts w:ascii="宋体;SimSun" w:hAnsi="宋体;SimSun" w:cs="宋体;SimSun" w:eastAsia="宋体;SimSun"/>
                              <w:sz w:val="28"/>
                            </w:rPr>
                            <w:fldChar w:fldCharType="begin" w:dirty="true"/>
                          </w:r>
                          <w:r>
                            <w:rPr>
                              <w:sz w:val="28"/>
                              <w:rFonts w:ascii="宋体;SimSun" w:hAnsi="宋体;SimSun" w:cs="宋体;SimSun" w:eastAsia="宋体;SimSun"/>
                            </w:rPr>
                            <w:instrText xml:space="preserve"> PAGE </w:instrText>
                          </w:r>
                          <w:r>
                            <w:rPr>
                              <w:sz w:val="28"/>
                              <w:rFonts w:ascii="宋体;SimSun" w:hAnsi="宋体;SimSun" w:cs="宋体;SimSun" w:eastAsia="宋体;SimSun"/>
                            </w:rPr>
                            <w:fldChar w:fldCharType="separate"/>
                          </w:r>
                          <w:r>
                            <w:rPr>
                              <w:sz w:val="28"/>
                              <w:rFonts w:ascii="宋体;SimSun" w:hAnsi="宋体;SimSun" w:cs="宋体;SimSun" w:eastAsia="宋体;SimSun"/>
                            </w:rPr>
                            <w:t>1</w:t>
                          </w:r>
                          <w:r>
                            <w:rPr>
                              <w:sz w:val="28"/>
                              <w:rFonts w:ascii="宋体;SimSun" w:hAnsi="宋体;SimSun" w:cs="宋体;SimSun" w:eastAsia="宋体;SimSun"/>
                            </w:rPr>
                            <w:fldChar w:fldCharType="end"/>
                          </w:r>
                          <w:r>
                            <w:rPr>
                              <w:sz w:val="28"/>
                            </w:rPr>
                            <w:t xml:space="preserve"> </w:t>
                          </w:r>
                          <w:r>
                            <w:rPr>
                              <w:rFonts w:cs="仿宋_GB2312"/>
                              <w:sz w:val="28"/>
                            </w:rPr>
                            <w:t>—</w:t>
                          </w:r>
                        </w:p>
                      </w:txbxContent>
                    </wps:txbx>
                    <wps:bodyPr anchor="t" lIns="635" tIns="635" rIns="635" bIns="635">
                      <a:spAutoFit/>
                    </wps:bodyPr>
                  </wps:wsp>
                </a:graphicData>
              </a:graphic>
            </wp:anchor>
          </w:drawing>
        </mc:Choice>
        <mc:Fallback>
          <w:pict>
            <v:rect fillcolor="#FFFFFF" style="position:absolute;rotation:-0;width:77.2pt;height:25.1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spacing w:lineRule="exact" w:line="500"/>
                      <w:ind w:start="320" w:end="320"/>
                      <w:rPr/>
                    </w:pPr>
                    <w:r>
                      <w:rPr>
                        <w:rFonts w:cs="仿宋_GB2312"/>
                        <w:sz w:val="28"/>
                      </w:rPr>
                      <w:t>—</w:t>
                    </w:r>
                    <w:r>
                      <w:rPr>
                        <w:sz w:val="28"/>
                      </w:rPr>
                      <w:t xml:space="preserve"> </w:t>
                    </w:r>
                    <w:r>
                      <w:rPr>
                        <w:rFonts w:ascii="宋体;SimSun" w:hAnsi="宋体;SimSun" w:cs="宋体;SimSun" w:eastAsia="宋体;SimSun"/>
                        <w:sz w:val="28"/>
                      </w:rPr>
                      <w:fldChar w:fldCharType="begin" w:dirty="true"/>
                    </w:r>
                    <w:r>
                      <w:rPr>
                        <w:sz w:val="28"/>
                        <w:rFonts w:ascii="宋体;SimSun" w:hAnsi="宋体;SimSun" w:cs="宋体;SimSun" w:eastAsia="宋体;SimSun"/>
                      </w:rPr>
                      <w:instrText xml:space="preserve"> PAGE </w:instrText>
                    </w:r>
                    <w:r>
                      <w:rPr>
                        <w:sz w:val="28"/>
                        <w:rFonts w:ascii="宋体;SimSun" w:hAnsi="宋体;SimSun" w:cs="宋体;SimSun" w:eastAsia="宋体;SimSun"/>
                      </w:rPr>
                      <w:fldChar w:fldCharType="separate"/>
                    </w:r>
                    <w:r>
                      <w:rPr>
                        <w:sz w:val="28"/>
                        <w:rFonts w:ascii="宋体;SimSun" w:hAnsi="宋体;SimSun" w:cs="宋体;SimSun" w:eastAsia="宋体;SimSun"/>
                      </w:rPr>
                      <w:t>1</w:t>
                    </w:r>
                    <w:r>
                      <w:rPr>
                        <w:sz w:val="28"/>
                        <w:rFonts w:ascii="宋体;SimSun" w:hAnsi="宋体;SimSun" w:cs="宋体;SimSun" w:eastAsia="宋体;SimSun"/>
                      </w:rPr>
                      <w:fldChar w:fldCharType="end"/>
                    </w:r>
                    <w:r>
                      <w:rPr>
                        <w:sz w:val="28"/>
                      </w:rPr>
                      <w:t xml:space="preserve"> </w:t>
                    </w:r>
                    <w:r>
                      <w:rPr>
                        <w:rFonts w:cs="仿宋_GB2312"/>
                        <w:sz w:val="28"/>
                      </w:rPr>
                      <w:t>—</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28"/>
      <w:lang w:val="en-US" w:eastAsia="zh-CN" w:bidi="ar-SA"/>
    </w:rPr>
  </w:style>
  <w:style w:type="character" w:styleId="Style14">
    <w:name w:val="默认段落字体"/>
    <w:qFormat/>
    <w:rPr/>
  </w:style>
  <w:style w:type="character" w:styleId="PageNumber">
    <w:name w:val="page number"/>
    <w:basedOn w:val="Style14"/>
    <w:rPr/>
  </w:style>
  <w:style w:type="character" w:styleId="Style15">
    <w:name w:val="批注引用"/>
    <w:qFormat/>
    <w:rPr>
      <w:sz w:val="21"/>
      <w:szCs w:val="21"/>
    </w:rPr>
  </w:style>
  <w:style w:type="character" w:styleId="Style16">
    <w:name w:val="批注文字 字符"/>
    <w:qFormat/>
    <w:rPr>
      <w:rFonts w:ascii="仿宋_GB2312" w:hAnsi="仿宋_GB2312" w:eastAsia="仿宋_GB2312" w:cs="仿宋_GB2312"/>
      <w:kern w:val="2"/>
      <w:sz w:val="32"/>
      <w:szCs w:val="28"/>
    </w:rPr>
  </w:style>
  <w:style w:type="character" w:styleId="Style17">
    <w:name w:val="批注主题 字符"/>
    <w:qFormat/>
    <w:rPr>
      <w:rFonts w:ascii="仿宋_GB2312" w:hAnsi="仿宋_GB2312" w:eastAsia="仿宋_GB2312" w:cs="仿宋_GB2312"/>
      <w:b/>
      <w:bCs/>
      <w:kern w:val="2"/>
      <w:sz w:val="32"/>
      <w:szCs w:val="28"/>
    </w:rPr>
  </w:style>
  <w:style w:type="character" w:styleId="Style18">
    <w:name w:val="批注框文本 字符"/>
    <w:qFormat/>
    <w:rPr>
      <w:rFonts w:ascii="仿宋_GB2312" w:hAnsi="仿宋_GB2312" w:eastAsia="仿宋_GB2312" w:cs="仿宋_GB2312"/>
      <w:kern w:val="2"/>
      <w:sz w:val="18"/>
      <w:szCs w:val="18"/>
    </w:rPr>
  </w:style>
  <w:style w:type="character" w:styleId="Style19">
    <w:name w:val="正文文本 字符"/>
    <w:qFormat/>
    <w:rPr>
      <w:rFonts w:ascii="Times New Roman" w:hAnsi="Times New Roman" w:eastAsia="仿宋_GB2312" w:cs="Times New Roman"/>
      <w:spacing w:val="-6"/>
      <w:kern w:val="2"/>
      <w:sz w:val="32"/>
      <w:szCs w:val="3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bidi w:val="0"/>
      <w:jc w:val="both"/>
      <w:spacing w:lineRule="exact" w:line="579"/>
      <w:ind w:firstLine="632" w:end="0"/>
    </w:pPr>
    <w:rPr>
      <w:rFonts w:ascii="仿宋_GB2312" w:hAnsi="仿宋_GB2312" w:eastAsia="仿宋_GB2312" w:cs="仿宋_GB2312"/>
      <w:b w:val="0"/>
      <w:color w:val="auto"/>
      <w:kern w:val="2"/>
      <w:sz w:val="32"/>
      <w:szCs w:val="28"/>
      <w:lang w:val="en-US" w:eastAsia="zh-CN" w:bidi="ar-SA"/>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 w:hAnsi="Calibri" w:eastAsia="仿宋_GB2312" w:cs="Times New Roman"/>
      <w:color w:val="auto"/>
      <w:kern w:val="2"/>
      <w:sz w:val="30"/>
      <w:szCs w:val="24"/>
      <w:lang w:val="en-US" w:eastAsia="zh-CN" w:bidi="ar-SA"/>
    </w:rPr>
  </w:style>
  <w:style w:type="paragraph" w:styleId="Style20">
    <w:name w:val="批注文字"/>
    <w:basedOn w:val="Normal"/>
    <w:qFormat/>
    <w:pPr>
      <w:jc w:val="start"/>
    </w:pPr>
    <w:rPr/>
  </w:style>
  <w:style w:type="paragraph" w:styleId="Style21">
    <w:name w:val="批注主题"/>
    <w:basedOn w:val="Style20"/>
    <w:next w:val="Style20"/>
    <w:qFormat/>
    <w:pPr/>
    <w:rPr>
      <w:b/>
      <w:bCs/>
    </w:rPr>
  </w:style>
  <w:style w:type="paragraph" w:styleId="Style22">
    <w:name w:val="批注框文本"/>
    <w:basedOn w:val="Normal"/>
    <w:qFormat/>
    <w:pPr/>
    <w:rPr>
      <w:sz w:val="18"/>
      <w:szCs w:val="18"/>
    </w:rPr>
  </w:style>
  <w:style w:type="paragraph" w:styleId="FrameContents">
    <w:name w:val="Frame Contents"/>
    <w:basedOn w:val="Normal"/>
    <w:qFormat/>
    <w:pPr/>
    <w:rPr/>
  </w:style>
  <w:style w:type="paragraph" w:customStyle="1" w:styleId="Title">
    <w:name w:val="Title"/>
    <w:basedOn w:val="Normal"/>
    <w:pPr>
      <w:widowControl w:val="false"/>
      <w:bidi w:val="0"/>
      <w:spacing w:lineRule="exact" w:line="579" w:after="579"/>
      <w:jc w:val="center"/>
    </w:pPr>
    <w:rPr>
      <w:b w:val="0"/>
      <w:color w:val="auto"/>
      <w:kern w:val="2"/>
      <w:lang w:val="en-US" w:eastAsia="zh-CN" w:bidi="ar-SA"/>
      <w:rFonts w:ascii="方正小标宋简体" w:hAnsi="方正小标宋简体" w:cs="方正小标宋_GBK" w:eastAsia="方正小标宋简体"/>
      <w:sz w:val="44"/>
      <w:szCs w:val="44"/>
    </w:rPr>
  </w:style>
  <w:style w:type="paragraph" w:customStyle="1" w:styleId="Heading1">
    <w:name w:val="heading 1"/>
    <w:basedOn w:val="Normal"/>
    <w:pPr>
      <w:keepNext/>
      <w:widowControl w:val="false"/>
      <w:bidi w:val="0"/>
      <w:jc w:val="both"/>
      <w:spacing w:lineRule="exact" w:line="579"/>
      <w:ind w:firstLine="632" w:end="0"/>
      <w:outlineLvl w:val="0"/>
    </w:pPr>
    <w:rPr>
      <w:b w:val="0"/>
      <w:color w:val="auto"/>
      <w:kern w:val="2"/>
      <w:sz w:val="32"/>
      <w:szCs w:val="28"/>
      <w:lang w:val="en-US" w:eastAsia="zh-CN" w:bidi="ar-SA"/>
      <w:rFonts w:ascii="黑体" w:hAnsi="黑体" w:cs="黑体" w:eastAsia="黑体"/>
    </w:rPr>
  </w:style>
  <w:style w:type="paragraph" w:customStyle="1" w:styleId="Heading2">
    <w:name w:val="heading 2"/>
    <w:basedOn w:val="Normal"/>
    <w:pPr>
      <w:keepNext/>
      <w:widowControl w:val="false"/>
      <w:bidi w:val="0"/>
      <w:jc w:val="both"/>
      <w:spacing w:lineRule="exact" w:line="579"/>
      <w:ind w:firstLine="634" w:end="0"/>
      <w:outlineLvl w:val="1"/>
    </w:pPr>
    <w:rPr>
      <w:color w:val="auto"/>
      <w:kern w:val="2"/>
      <w:sz w:val="32"/>
      <w:szCs w:val="28"/>
      <w:lang w:val="en-US" w:eastAsia="zh-CN" w:bidi="ar-SA"/>
      <w:rFonts w:ascii="楷体_GB2312" w:hAnsi="楷体_GB2312" w:eastAsia="楷体_GB2312"/>
      <w:b/>
    </w:rPr>
  </w:style>
  <w:style w:type="paragraph" w:customStyle="1" w:styleId="Heading3">
    <w:name w:val="heading 3"/>
    <w:basedOn w:val="Normal"/>
    <w:pPr>
      <w:keepNext/>
      <w:widowControl w:val="false"/>
      <w:bidi w:val="0"/>
      <w:jc w:val="both"/>
      <w:spacing w:lineRule="exact" w:line="579"/>
      <w:ind w:firstLine="632" w:end="0"/>
      <w:outlineLvl w:val="2"/>
    </w:pPr>
    <w:rPr>
      <w:rFonts w:ascii="仿宋_GB2312" w:hAnsi="仿宋_GB2312" w:eastAsia="仿宋_GB2312" w:cs="仿宋_GB2312"/>
      <w:b w:val="0"/>
      <w:color w:val="auto"/>
      <w:kern w:val="2"/>
      <w:sz w:val="32"/>
      <w:szCs w:val="28"/>
      <w:lang w:val="en-US" w:eastAsia="zh-CN" w:bidi="ar-SA"/>
    </w:rPr>
  </w:style>
  <w:style w:type="paragraph" w:customStyle="1" w:styleId="Classification">
    <w:name w:val="Classification"/>
    <w:basedOn w:val="Normal"/>
    <w:pPr>
      <w:widowControl w:val="false"/>
      <w:bidi w:val="0"/>
      <w:jc w:val="both"/>
      <w:spacing w:lineRule="exact" w:line="579"/>
    </w:pPr>
    <w:rPr>
      <w:b w:val="0"/>
      <w:color w:val="auto"/>
      <w:kern w:val="2"/>
      <w:sz w:val="32"/>
      <w:szCs w:val="28"/>
      <w:lang w:val="en-US" w:eastAsia="zh-CN" w:bidi="ar-SA"/>
      <w:rFonts w:ascii="黑体" w:hAnsi="黑体" w:cs="黑体" w:eastAsia="黑体"/>
    </w:rPr>
  </w:style>
  <w:style w:type="paragraph" w:customStyle="1" w:styleId="Recipient">
    <w:name w:val="Recipient"/>
    <w:basedOn w:val="Normal"/>
    <w:pPr>
      <w:widowControl w:val="false"/>
      <w:bidi w:val="0"/>
      <w:jc w:val="both"/>
      <w:spacing w:lineRule="exact" w:line="579"/>
    </w:pPr>
    <w:rPr>
      <w:rFonts w:ascii="仿宋_GB2312" w:hAnsi="仿宋_GB2312" w:eastAsia="仿宋_GB2312" w:cs="仿宋_GB2312"/>
      <w:b w:val="0"/>
      <w:color w:val="auto"/>
      <w:kern w:val="2"/>
      <w:sz w:val="32"/>
      <w:szCs w:val="28"/>
      <w:lang w:val="en-US" w:eastAsia="zh-CN" w:bidi="ar-SA"/>
    </w:rPr>
  </w:style>
  <w:style w:type="paragraph" w:customStyle="1" w:styleId="Signature">
    <w:name w:val="Signature"/>
    <w:basedOn w:val="Normal"/>
    <w:pPr>
      <w:widowControl w:val="false"/>
      <w:bidi w:val="0"/>
      <w:spacing w:lineRule="exact" w:line="579" w:before="1158"/>
      <w:jc w:val="end"/>
    </w:pPr>
    <w:rPr>
      <w:rFonts w:ascii="仿宋_GB2312" w:hAnsi="仿宋_GB2312" w:eastAsia="仿宋_GB2312" w:cs="仿宋_GB2312"/>
      <w:b w:val="0"/>
      <w:color w:val="auto"/>
      <w:kern w:val="2"/>
      <w:sz w:val="32"/>
      <w:szCs w:val="28"/>
      <w:lang w:val="en-US" w:eastAsia="zh-CN" w:bidi="ar-SA"/>
    </w:rPr>
  </w:style>
  <w:style w:type="paragraph" w:customStyle="1" w:styleId="DocumentDate">
    <w:name w:val="Document Date"/>
    <w:basedOn w:val="Normal"/>
    <w:pPr>
      <w:widowControl w:val="false"/>
      <w:bidi w:val="0"/>
      <w:spacing w:lineRule="exact" w:line="579"/>
      <w:jc w:val="end"/>
    </w:pPr>
    <w:rPr>
      <w:rFonts w:ascii="仿宋_GB2312" w:hAnsi="仿宋_GB2312" w:eastAsia="仿宋_GB2312" w:cs="仿宋_GB2312"/>
      <w:b w:val="0"/>
      <w:color w:val="auto"/>
      <w:kern w:val="2"/>
      <w:sz w:val="32"/>
      <w:szCs w:val="28"/>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136</TotalTime>
  <Application>LibreOffice/25.2.7.2$MacOSX_X86_64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2026-09-20T09:45:31Z</dcterms:modified>
  <dc:description>User template.docx (legacy DOC), SHA256 fa2c5c208609a6d056154510d259dd17f1dab7fcf30c9cfccb6a07e6239e2a2a. LibreOffice 25.2.7.2 conversion; styles from sample paragraphs; original page setup/footer retained.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