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2026-03-11</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p>
    <w:p>
      <w:r>
        <w:rPr>
          <w:b/>
        </w:rPr>
        <w:t xml:space="preserve">是否跨学科: </w:t>
      </w:r>
      <w:r>
        <w:t>是</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p>
    <w:p>
      <w:r>
        <w:rPr>
          <w:b/>
        </w:rPr>
        <w:t xml:space="preserve">是否跨学科: </w:t>
      </w:r>
      <w:r>
        <w:t>是</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Nano-island-encapsulated cobalt single-atom catalysts for breaking activity-stab...</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Single-atom catalysts (SACs)</w:t>
            </w:r>
          </w:p>
        </w:tc>
        <w:tc>
          <w:tcPr>
            <w:tcW w:type="dxa" w:w="1984"/>
          </w:tcPr>
          <w:p>
            <w:r>
              <w:rPr>
                <w:sz w:val="20"/>
              </w:rPr>
              <w:t>单原子催化剂</w:t>
            </w:r>
          </w:p>
        </w:tc>
        <w:tc>
          <w:tcPr>
            <w:tcW w:type="dxa" w:w="3402"/>
          </w:tcPr>
          <w:p>
            <w:r>
              <w:rPr>
                <w:sz w:val="20"/>
              </w:rPr>
              <w:t>Single-atom catalysts (SACs) have been increasingl...</w:t>
            </w:r>
          </w:p>
        </w:tc>
        <w:tc>
          <w:tcPr>
            <w:tcW w:type="dxa" w:w="850"/>
          </w:tcPr>
          <w:p>
            <w:r>
              <w:rPr>
                <w:sz w:val="20"/>
              </w:rPr>
              <w:t>1.0</w:t>
            </w:r>
          </w:p>
        </w:tc>
      </w:tr>
      <w:tr>
        <w:tc>
          <w:tcPr>
            <w:tcW w:type="dxa" w:w="1701"/>
          </w:tcPr>
          <w:p>
            <w:r>
              <w:rPr>
                <w:sz w:val="20"/>
              </w:rPr>
              <w:t>Fenton-like catalysis</w:t>
            </w:r>
          </w:p>
        </w:tc>
        <w:tc>
          <w:tcPr>
            <w:tcW w:type="dxa" w:w="1984"/>
          </w:tcPr>
          <w:p>
            <w:r>
              <w:rPr>
                <w:sz w:val="20"/>
              </w:rPr>
              <w:t>类芬顿催化</w:t>
            </w:r>
          </w:p>
        </w:tc>
        <w:tc>
          <w:tcPr>
            <w:tcW w:type="dxa" w:w="3402"/>
          </w:tcPr>
          <w:p>
            <w:r>
              <w:rPr>
                <w:sz w:val="20"/>
              </w:rPr>
              <w:t>Single-atom catalysts (SACs) have been increasingl...</w:t>
            </w:r>
          </w:p>
        </w:tc>
        <w:tc>
          <w:tcPr>
            <w:tcW w:type="dxa" w:w="850"/>
          </w:tcPr>
          <w:p>
            <w:r>
              <w:rPr>
                <w:sz w:val="20"/>
              </w:rPr>
              <w:t>1.0</w:t>
            </w:r>
          </w:p>
        </w:tc>
      </w:tr>
      <w:tr>
        <w:tc>
          <w:tcPr>
            <w:tcW w:type="dxa" w:w="1701"/>
          </w:tcPr>
          <w:p>
            <w:r>
              <w:rPr>
                <w:sz w:val="20"/>
              </w:rPr>
              <w:t>peroxymonosulfate (PMS)</w:t>
            </w:r>
          </w:p>
        </w:tc>
        <w:tc>
          <w:tcPr>
            <w:tcW w:type="dxa" w:w="1984"/>
          </w:tcPr>
          <w:p>
            <w:r>
              <w:rPr>
                <w:sz w:val="20"/>
              </w:rPr>
              <w:t>过一硫酸盐</w:t>
            </w:r>
          </w:p>
        </w:tc>
        <w:tc>
          <w:tcPr>
            <w:tcW w:type="dxa" w:w="3402"/>
          </w:tcPr>
          <w:p>
            <w:r>
              <w:rPr>
                <w:sz w:val="20"/>
              </w:rPr>
              <w:t>However, SACs face a trade-off between activity an...</w:t>
            </w:r>
          </w:p>
        </w:tc>
        <w:tc>
          <w:tcPr>
            <w:tcW w:type="dxa" w:w="850"/>
          </w:tcPr>
          <w:p>
            <w:r>
              <w:rPr>
                <w:sz w:val="20"/>
              </w:rPr>
              <w:t>1.0</w:t>
            </w:r>
          </w:p>
        </w:tc>
      </w:tr>
      <w:tr>
        <w:tc>
          <w:tcPr>
            <w:tcW w:type="dxa" w:w="1701"/>
          </w:tcPr>
          <w:p>
            <w:r>
              <w:rPr>
                <w:sz w:val="20"/>
              </w:rPr>
              <w:t>nano-island encapsulated single cobalt atom (Co&lt;sub&gt;SA/Zn.O&lt;/sub&gt;-ZnO)</w:t>
            </w:r>
          </w:p>
        </w:tc>
        <w:tc>
          <w:tcPr>
            <w:tcW w:type="dxa" w:w="1984"/>
          </w:tcPr>
          <w:p>
            <w:r>
              <w:rPr>
                <w:sz w:val="20"/>
              </w:rPr>
              <w:t>纳米岛封装单钴原子催化剂</w:t>
            </w:r>
          </w:p>
        </w:tc>
        <w:tc>
          <w:tcPr>
            <w:tcW w:type="dxa" w:w="3402"/>
          </w:tcPr>
          <w:p>
            <w:r>
              <w:rPr>
                <w:sz w:val="20"/>
              </w:rPr>
              <w:t>Herein, we design a nano-island encapsulated singl...</w:t>
            </w:r>
          </w:p>
        </w:tc>
        <w:tc>
          <w:tcPr>
            <w:tcW w:type="dxa" w:w="850"/>
          </w:tcPr>
          <w:p>
            <w:r>
              <w:rPr>
                <w:sz w:val="20"/>
              </w:rPr>
              <w:t>1.0</w:t>
            </w:r>
          </w:p>
        </w:tc>
      </w:tr>
      <w:tr>
        <w:tc>
          <w:tcPr>
            <w:tcW w:type="dxa" w:w="1701"/>
          </w:tcPr>
          <w:p>
            <w:r>
              <w:rPr>
                <w:sz w:val="20"/>
              </w:rPr>
              <w:t>sulfate radicals (SO&lt;sub&gt;4&lt;/sub&gt;&lt;sup&gt;•-&lt;/sup&gt;)</w:t>
            </w:r>
          </w:p>
        </w:tc>
        <w:tc>
          <w:tcPr>
            <w:tcW w:type="dxa" w:w="1984"/>
          </w:tcPr>
          <w:p>
            <w:r>
              <w:rPr>
                <w:sz w:val="20"/>
              </w:rPr>
              <w:t>硫酸根自由基</w:t>
            </w:r>
          </w:p>
        </w:tc>
        <w:tc>
          <w:tcPr>
            <w:tcW w:type="dxa" w:w="3402"/>
          </w:tcPr>
          <w:p>
            <w:r>
              <w:rPr>
                <w:sz w:val="20"/>
              </w:rPr>
              <w:t>The Co&lt;sub&gt;SA/Zn.O&lt;/sub&gt;-ZnO/PMS system exhibits a...</w:t>
            </w:r>
          </w:p>
        </w:tc>
        <w:tc>
          <w:tcPr>
            <w:tcW w:type="dxa" w:w="850"/>
          </w:tcPr>
          <w:p>
            <w:r>
              <w:rPr>
                <w:sz w:val="20"/>
              </w:rPr>
              <w:t>1.0</w:t>
            </w:r>
          </w:p>
        </w:tc>
      </w:tr>
      <w:tr>
        <w:tc>
          <w:tcPr>
            <w:tcW w:type="dxa" w:w="1701"/>
          </w:tcPr>
          <w:p>
            <w:r>
              <w:rPr>
                <w:sz w:val="20"/>
              </w:rPr>
              <w:t>recalcitrant pollutants</w:t>
            </w:r>
          </w:p>
        </w:tc>
        <w:tc>
          <w:tcPr>
            <w:tcW w:type="dxa" w:w="1984"/>
          </w:tcPr>
          <w:p>
            <w:r>
              <w:rPr>
                <w:sz w:val="20"/>
              </w:rPr>
              <w:t>难降解污染物</w:t>
            </w:r>
          </w:p>
        </w:tc>
        <w:tc>
          <w:tcPr>
            <w:tcW w:type="dxa" w:w="3402"/>
          </w:tcPr>
          <w:p>
            <w:r>
              <w:rPr>
                <w:sz w:val="20"/>
              </w:rPr>
              <w:t>The Co&lt;sub&gt;SA/Zn.O&lt;/sub&gt;-ZnO/PMS system exhibits a...</w:t>
            </w:r>
          </w:p>
        </w:tc>
        <w:tc>
          <w:tcPr>
            <w:tcW w:type="dxa" w:w="850"/>
          </w:tcPr>
          <w:p>
            <w:r>
              <w:rPr>
                <w:sz w:val="20"/>
              </w:rPr>
              <w:t>1.0</w:t>
            </w:r>
          </w:p>
        </w:tc>
      </w:tr>
    </w:tbl>
    <w:p/>
    <w:p/>
    <w:p>
      <w:pPr>
        <w:pStyle w:val="Heading3"/>
      </w:pPr>
      <w:r>
        <w:t>样例 2: High-entropy alloy enables multi-path electron synergism and lattice oxygen acti...</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Electrocatalytic oxygen evolution reaction (OER)</w:t>
            </w:r>
          </w:p>
        </w:tc>
        <w:tc>
          <w:tcPr>
            <w:tcW w:type="dxa" w:w="1984"/>
          </w:tcPr>
          <w:p>
            <w:r>
              <w:rPr>
                <w:sz w:val="20"/>
              </w:rPr>
              <w:t>电催化析氧反应</w:t>
            </w:r>
          </w:p>
        </w:tc>
        <w:tc>
          <w:tcPr>
            <w:tcW w:type="dxa" w:w="3402"/>
          </w:tcPr>
          <w:p>
            <w:r>
              <w:rPr>
                <w:sz w:val="20"/>
              </w:rPr>
              <w:t>Electrocatalytic oxygen evolution reaction (OER) i...</w:t>
            </w:r>
          </w:p>
        </w:tc>
        <w:tc>
          <w:tcPr>
            <w:tcW w:type="dxa" w:w="850"/>
          </w:tcPr>
          <w:p>
            <w:r>
              <w:rPr>
                <w:sz w:val="20"/>
              </w:rPr>
              <w:t>1.0</w:t>
            </w:r>
          </w:p>
        </w:tc>
      </w:tr>
      <w:tr>
        <w:tc>
          <w:tcPr>
            <w:tcW w:type="dxa" w:w="1701"/>
          </w:tcPr>
          <w:p>
            <w:r>
              <w:rPr>
                <w:sz w:val="20"/>
              </w:rPr>
              <w:t>lattice oxygen activation mechanism (LOM)</w:t>
            </w:r>
          </w:p>
        </w:tc>
        <w:tc>
          <w:tcPr>
            <w:tcW w:type="dxa" w:w="1984"/>
          </w:tcPr>
          <w:p>
            <w:r>
              <w:rPr>
                <w:sz w:val="20"/>
              </w:rPr>
              <w:t>晶格氧活化机制</w:t>
            </w:r>
          </w:p>
        </w:tc>
        <w:tc>
          <w:tcPr>
            <w:tcW w:type="dxa" w:w="3402"/>
          </w:tcPr>
          <w:p>
            <w:r>
              <w:rPr>
                <w:sz w:val="20"/>
              </w:rPr>
              <w:t>Leveraging the lattice oxygen activation mechanism...</w:t>
            </w:r>
          </w:p>
        </w:tc>
        <w:tc>
          <w:tcPr>
            <w:tcW w:type="dxa" w:w="850"/>
          </w:tcPr>
          <w:p>
            <w:r>
              <w:rPr>
                <w:sz w:val="20"/>
              </w:rPr>
              <w:t>1.0</w:t>
            </w:r>
          </w:p>
        </w:tc>
      </w:tr>
      <w:tr>
        <w:tc>
          <w:tcPr>
            <w:tcW w:type="dxa" w:w="1701"/>
          </w:tcPr>
          <w:p>
            <w:r>
              <w:rPr>
                <w:sz w:val="20"/>
              </w:rPr>
              <w:t>high-entropy alloys (HEAs)</w:t>
            </w:r>
          </w:p>
        </w:tc>
        <w:tc>
          <w:tcPr>
            <w:tcW w:type="dxa" w:w="1984"/>
          </w:tcPr>
          <w:p>
            <w:r>
              <w:rPr>
                <w:sz w:val="20"/>
              </w:rPr>
              <w:t>高熵合金</w:t>
            </w:r>
          </w:p>
        </w:tc>
        <w:tc>
          <w:tcPr>
            <w:tcW w:type="dxa" w:w="3402"/>
          </w:tcPr>
          <w:p>
            <w:r>
              <w:rPr>
                <w:sz w:val="20"/>
              </w:rPr>
              <w:t>We reveal that high-entropy alloys (HEAs) can effi...</w:t>
            </w:r>
          </w:p>
        </w:tc>
        <w:tc>
          <w:tcPr>
            <w:tcW w:type="dxa" w:w="850"/>
          </w:tcPr>
          <w:p>
            <w:r>
              <w:rPr>
                <w:sz w:val="20"/>
              </w:rPr>
              <w:t>1.0</w:t>
            </w:r>
          </w:p>
        </w:tc>
      </w:tr>
      <w:tr>
        <w:tc>
          <w:tcPr>
            <w:tcW w:type="dxa" w:w="1701"/>
          </w:tcPr>
          <w:p>
            <w:r>
              <w:rPr>
                <w:sz w:val="20"/>
              </w:rPr>
              <w:t>multi-path electron transfer</w:t>
            </w:r>
          </w:p>
        </w:tc>
        <w:tc>
          <w:tcPr>
            <w:tcW w:type="dxa" w:w="1984"/>
          </w:tcPr>
          <w:p>
            <w:r>
              <w:rPr>
                <w:sz w:val="20"/>
              </w:rPr>
              <w:t>多路径电子转移</w:t>
            </w:r>
          </w:p>
        </w:tc>
        <w:tc>
          <w:tcPr>
            <w:tcW w:type="dxa" w:w="3402"/>
          </w:tcPr>
          <w:p>
            <w:r>
              <w:rPr>
                <w:sz w:val="20"/>
              </w:rPr>
              <w:t>We reveal that high-entropy alloys (HEAs) can effi...</w:t>
            </w:r>
          </w:p>
        </w:tc>
        <w:tc>
          <w:tcPr>
            <w:tcW w:type="dxa" w:w="850"/>
          </w:tcPr>
          <w:p>
            <w:r>
              <w:rPr>
                <w:sz w:val="20"/>
              </w:rPr>
              <w:t>1.0</w:t>
            </w:r>
          </w:p>
        </w:tc>
      </w:tr>
      <w:tr>
        <w:tc>
          <w:tcPr>
            <w:tcW w:type="dxa" w:w="1701"/>
          </w:tcPr>
          <w:p>
            <w:r>
              <w:rPr>
                <w:sz w:val="20"/>
              </w:rPr>
              <w:t>Ni-Co dual-site</w:t>
            </w:r>
          </w:p>
        </w:tc>
        <w:tc>
          <w:tcPr>
            <w:tcW w:type="dxa" w:w="1984"/>
          </w:tcPr>
          <w:p>
            <w:r>
              <w:rPr>
                <w:sz w:val="20"/>
              </w:rPr>
              <w:t>镍-钴双位点</w:t>
            </w:r>
          </w:p>
        </w:tc>
        <w:tc>
          <w:tcPr>
            <w:tcW w:type="dxa" w:w="3402"/>
          </w:tcPr>
          <w:p>
            <w:r>
              <w:rPr>
                <w:sz w:val="20"/>
              </w:rPr>
              <w:t>Specifically, the oxidation of nickel is enhanced ...</w:t>
            </w:r>
          </w:p>
        </w:tc>
        <w:tc>
          <w:tcPr>
            <w:tcW w:type="dxa" w:w="850"/>
          </w:tcPr>
          <w:p>
            <w:r>
              <w:rPr>
                <w:sz w:val="20"/>
              </w:rPr>
              <w:t>1.0</w:t>
            </w:r>
          </w:p>
        </w:tc>
      </w:tr>
      <w:tr>
        <w:tc>
          <w:tcPr>
            <w:tcW w:type="dxa" w:w="1701"/>
          </w:tcPr>
          <w:p>
            <w:r>
              <w:rPr>
                <w:sz w:val="20"/>
              </w:rPr>
              <w:t>NiFeCoCrW&lt;sub&gt;0.2&lt;/sub&gt; HEA</w:t>
            </w:r>
          </w:p>
        </w:tc>
        <w:tc>
          <w:tcPr>
            <w:tcW w:type="dxa" w:w="1984"/>
          </w:tcPr>
          <w:p>
            <w:r>
              <w:rPr>
                <w:sz w:val="20"/>
              </w:rPr>
              <w:t>NiFeCoCrW&lt;sub&gt;0.2&lt;/sub&gt;高熵合金</w:t>
            </w:r>
          </w:p>
        </w:tc>
        <w:tc>
          <w:tcPr>
            <w:tcW w:type="dxa" w:w="3402"/>
          </w:tcPr>
          <w:p>
            <w:r>
              <w:rPr>
                <w:sz w:val="20"/>
              </w:rPr>
              <w:t>These insights allow the design of a NiFeCoCrW&lt;sub...</w:t>
            </w:r>
          </w:p>
        </w:tc>
        <w:tc>
          <w:tcPr>
            <w:tcW w:type="dxa" w:w="850"/>
          </w:tcPr>
          <w:p>
            <w:r>
              <w:rPr>
                <w:sz w:val="20"/>
              </w:rPr>
              <w:t>1.0</w:t>
            </w:r>
          </w:p>
        </w:tc>
      </w:tr>
    </w:tbl>
    <w:p/>
    <w:p/>
    <w:p>
      <w:pPr>
        <w:pStyle w:val="Heading3"/>
      </w:pPr>
      <w:r>
        <w:t>样例 3: MXene-Assisted NiFe sulfides for high-performance anion exchange membrane seawat...</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anion exchange membrane seawater electrolysis</w:t>
            </w:r>
          </w:p>
        </w:tc>
        <w:tc>
          <w:tcPr>
            <w:tcW w:type="dxa" w:w="1984"/>
          </w:tcPr>
          <w:p>
            <w:r>
              <w:rPr>
                <w:sz w:val="20"/>
              </w:rPr>
              <w:t>阴离子交换膜海水电解</w:t>
            </w:r>
          </w:p>
        </w:tc>
        <w:tc>
          <w:tcPr>
            <w:tcW w:type="dxa" w:w="3402"/>
          </w:tcPr>
          <w:p>
            <w:r>
              <w:rPr>
                <w:sz w:val="20"/>
              </w:rPr>
              <w:t>Anion exchange membrane seawater electrolysis is v...</w:t>
            </w:r>
          </w:p>
        </w:tc>
        <w:tc>
          <w:tcPr>
            <w:tcW w:type="dxa" w:w="850"/>
          </w:tcPr>
          <w:p>
            <w:r>
              <w:rPr>
                <w:sz w:val="20"/>
              </w:rPr>
              <w:t>1.0</w:t>
            </w:r>
          </w:p>
        </w:tc>
      </w:tr>
      <w:tr>
        <w:tc>
          <w:tcPr>
            <w:tcW w:type="dxa" w:w="1701"/>
          </w:tcPr>
          <w:p>
            <w:r>
              <w:rPr>
                <w:sz w:val="20"/>
              </w:rPr>
              <w:t>oxygen evolution reaction electrocatalysts</w:t>
            </w:r>
          </w:p>
        </w:tc>
        <w:tc>
          <w:tcPr>
            <w:tcW w:type="dxa" w:w="1984"/>
          </w:tcPr>
          <w:p>
            <w:r>
              <w:rPr>
                <w:sz w:val="20"/>
              </w:rPr>
              <w:t>氧析出反应电催化剂</w:t>
            </w:r>
          </w:p>
        </w:tc>
        <w:tc>
          <w:tcPr>
            <w:tcW w:type="dxa" w:w="3402"/>
          </w:tcPr>
          <w:p>
            <w:r>
              <w:rPr>
                <w:sz w:val="20"/>
              </w:rPr>
              <w:t>enduring a huge challenge that lacks high-stable o...</w:t>
            </w:r>
          </w:p>
        </w:tc>
        <w:tc>
          <w:tcPr>
            <w:tcW w:type="dxa" w:w="850"/>
          </w:tcPr>
          <w:p>
            <w:r>
              <w:rPr>
                <w:sz w:val="20"/>
              </w:rPr>
              <w:t>1.0</w:t>
            </w:r>
          </w:p>
        </w:tc>
      </w:tr>
      <w:tr>
        <w:tc>
          <w:tcPr>
            <w:tcW w:type="dxa" w:w="1701"/>
          </w:tcPr>
          <w:p>
            <w:r>
              <w:rPr>
                <w:sz w:val="20"/>
              </w:rPr>
              <w:t>MXene (Ti&lt;sub&gt;3&lt;/sub&gt;C&lt;sub&gt;2&lt;/sub&gt;)</w:t>
            </w:r>
          </w:p>
        </w:tc>
        <w:tc>
          <w:tcPr>
            <w:tcW w:type="dxa" w:w="1984"/>
          </w:tcPr>
          <w:p>
            <w:r>
              <w:rPr>
                <w:sz w:val="20"/>
              </w:rPr>
              <w:t>MXene (Ti3C2)</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NiFe sulfides ((Ni,Fe)S&lt;sub&gt;2&lt;/sub&gt;@Ti&lt;sub&gt;3&lt;/sub&gt;C&lt;sub&gt;2&lt;/sub&gt;)</w:t>
            </w:r>
          </w:p>
        </w:tc>
        <w:tc>
          <w:tcPr>
            <w:tcW w:type="dxa" w:w="1984"/>
          </w:tcPr>
          <w:p>
            <w:r>
              <w:rPr>
                <w:sz w:val="20"/>
              </w:rPr>
              <w:t>NiFe硫化物 ((Ni,Fe)S2@Ti3C2)</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lattice oxygen mechanism</w:t>
            </w:r>
          </w:p>
        </w:tc>
        <w:tc>
          <w:tcPr>
            <w:tcW w:type="dxa" w:w="1984"/>
          </w:tcPr>
          <w:p>
            <w:r>
              <w:rPr>
                <w:sz w:val="20"/>
              </w:rPr>
              <w:t>晶格氧机制</w:t>
            </w:r>
          </w:p>
        </w:tc>
        <w:tc>
          <w:tcPr>
            <w:tcW w:type="dxa" w:w="3402"/>
          </w:tcPr>
          <w:p>
            <w:r>
              <w:rPr>
                <w:sz w:val="20"/>
              </w:rPr>
              <w:t>The strong interaction between (Ni,Fe)S&lt;sub&gt;2&lt;/sub...</w:t>
            </w:r>
          </w:p>
        </w:tc>
        <w:tc>
          <w:tcPr>
            <w:tcW w:type="dxa" w:w="850"/>
          </w:tcPr>
          <w:p>
            <w:r>
              <w:rPr>
                <w:sz w:val="20"/>
              </w:rPr>
              <w:t>1.0</w:t>
            </w:r>
          </w:p>
        </w:tc>
      </w:tr>
      <w:tr>
        <w:tc>
          <w:tcPr>
            <w:tcW w:type="dxa" w:w="1701"/>
          </w:tcPr>
          <w:p>
            <w:r>
              <w:rPr>
                <w:sz w:val="20"/>
              </w:rPr>
              <w:t>Ti-O-Fe bonding</w:t>
            </w:r>
          </w:p>
        </w:tc>
        <w:tc>
          <w:tcPr>
            <w:tcW w:type="dxa" w:w="1984"/>
          </w:tcPr>
          <w:p>
            <w:r>
              <w:rPr>
                <w:sz w:val="20"/>
              </w:rPr>
              <w:t>Ti-O-Fe键</w:t>
            </w:r>
          </w:p>
        </w:tc>
        <w:tc>
          <w:tcPr>
            <w:tcW w:type="dxa" w:w="3402"/>
          </w:tcPr>
          <w:p>
            <w:r>
              <w:rPr>
                <w:sz w:val="20"/>
              </w:rPr>
              <w:t>particularly prohibits the dissolution of Fe speci...</w:t>
            </w:r>
          </w:p>
        </w:tc>
        <w:tc>
          <w:tcPr>
            <w:tcW w:type="dxa" w:w="850"/>
          </w:tcPr>
          <w:p>
            <w:r>
              <w:rPr>
                <w:sz w:val="20"/>
              </w:rPr>
              <w:t>1.0</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Nano-island-encapsulated cobalt single-atom catalysts for breaking activity-stab...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nano-island encapsulated single cobalt atom (Co&lt;sub&gt;SA/Zn.O&lt;/sub&gt;-ZnO)</w:t>
            </w:r>
          </w:p>
        </w:tc>
        <w:tc>
          <w:tcPr>
            <w:tcW w:type="dxa" w:w="2268"/>
          </w:tcPr>
          <w:p>
            <w:r>
              <w:rPr>
                <w:sz w:val="20"/>
              </w:rPr>
              <w:t>enhances the activity and stability of</w:t>
            </w:r>
          </w:p>
        </w:tc>
        <w:tc>
          <w:tcPr>
            <w:tcW w:type="dxa" w:w="1984"/>
          </w:tcPr>
          <w:p>
            <w:r>
              <w:rPr>
                <w:sz w:val="20"/>
              </w:rPr>
              <w:t>peroxymonosulfate (PMS)</w:t>
            </w:r>
          </w:p>
        </w:tc>
        <w:tc>
          <w:tcPr>
            <w:tcW w:type="dxa" w:w="850"/>
          </w:tcPr>
          <w:p>
            <w:r>
              <w:rPr>
                <w:sz w:val="20"/>
              </w:rPr>
              <w:t>1.0</w:t>
            </w:r>
          </w:p>
        </w:tc>
      </w:tr>
      <w:tr>
        <w:tc>
          <w:tcPr>
            <w:tcW w:type="dxa" w:w="1984"/>
          </w:tcPr>
          <w:p>
            <w:r>
              <w:rPr>
                <w:sz w:val="20"/>
              </w:rPr>
              <w:t>nano-island encapsulated single cobalt atom (Co&lt;sub&gt;SA/Zn.O&lt;/sub&gt;-ZnO)</w:t>
            </w:r>
          </w:p>
        </w:tc>
        <w:tc>
          <w:tcPr>
            <w:tcW w:type="dxa" w:w="2268"/>
          </w:tcPr>
          <w:p>
            <w:r>
              <w:rPr>
                <w:sz w:val="20"/>
              </w:rPr>
              <w:t>exclusively generates</w:t>
            </w:r>
          </w:p>
        </w:tc>
        <w:tc>
          <w:tcPr>
            <w:tcW w:type="dxa" w:w="1984"/>
          </w:tcPr>
          <w:p>
            <w:r>
              <w:rPr>
                <w:sz w:val="20"/>
              </w:rPr>
              <w:t>sulfate radicals (SO&lt;sub&gt;4&lt;/sub&gt;&lt;sup&gt;•-&lt;/sup&gt;)</w:t>
            </w:r>
          </w:p>
        </w:tc>
        <w:tc>
          <w:tcPr>
            <w:tcW w:type="dxa" w:w="850"/>
          </w:tcPr>
          <w:p>
            <w:r>
              <w:rPr>
                <w:sz w:val="20"/>
              </w:rPr>
              <w:t>1.0</w:t>
            </w:r>
          </w:p>
        </w:tc>
      </w:tr>
      <w:tr>
        <w:tc>
          <w:tcPr>
            <w:tcW w:type="dxa" w:w="1984"/>
          </w:tcPr>
          <w:p>
            <w:r>
              <w:rPr>
                <w:sz w:val="20"/>
              </w:rPr>
              <w:t>sulfate radicals (SO&lt;sub&gt;4&lt;/sub&gt;&lt;sup&gt;•-&lt;/sup&gt;)</w:t>
            </w:r>
          </w:p>
        </w:tc>
        <w:tc>
          <w:tcPr>
            <w:tcW w:type="dxa" w:w="2268"/>
          </w:tcPr>
          <w:p>
            <w:r>
              <w:rPr>
                <w:sz w:val="20"/>
              </w:rPr>
              <w:t>leads to complete removal of</w:t>
            </w:r>
          </w:p>
        </w:tc>
        <w:tc>
          <w:tcPr>
            <w:tcW w:type="dxa" w:w="1984"/>
          </w:tcPr>
          <w:p>
            <w:r>
              <w:rPr>
                <w:sz w:val="20"/>
              </w:rPr>
              <w:t>recalcitrant pollutants</w:t>
            </w:r>
          </w:p>
        </w:tc>
        <w:tc>
          <w:tcPr>
            <w:tcW w:type="dxa" w:w="850"/>
          </w:tcPr>
          <w:p>
            <w:r>
              <w:rPr>
                <w:sz w:val="20"/>
              </w:rPr>
              <w:t>1.0</w:t>
            </w:r>
          </w:p>
        </w:tc>
      </w:tr>
      <w:tr>
        <w:tc>
          <w:tcPr>
            <w:tcW w:type="dxa" w:w="1984"/>
          </w:tcPr>
          <w:p>
            <w:r>
              <w:rPr>
                <w:sz w:val="20"/>
              </w:rPr>
              <w:t>nano-island encapsulated single cobalt atom (Co&lt;sub&gt;SA/Zn.O&lt;/sub&gt;-ZnO)</w:t>
            </w:r>
          </w:p>
        </w:tc>
        <w:tc>
          <w:tcPr>
            <w:tcW w:type="dxa" w:w="2268"/>
          </w:tcPr>
          <w:p>
            <w:r>
              <w:rPr>
                <w:sz w:val="20"/>
              </w:rPr>
              <w:t>characterized by minimal leaching of</w:t>
            </w:r>
          </w:p>
        </w:tc>
        <w:tc>
          <w:tcPr>
            <w:tcW w:type="dxa" w:w="1984"/>
          </w:tcPr>
          <w:p>
            <w:r>
              <w:rPr>
                <w:sz w:val="20"/>
              </w:rPr>
              <w:t>active sites</w:t>
            </w:r>
          </w:p>
        </w:tc>
        <w:tc>
          <w:tcPr>
            <w:tcW w:type="dxa" w:w="850"/>
          </w:tcPr>
          <w:p>
            <w:r>
              <w:rPr>
                <w:sz w:val="20"/>
              </w:rPr>
              <w:t>1.0</w:t>
            </w:r>
          </w:p>
        </w:tc>
      </w:tr>
      <w:tr>
        <w:tc>
          <w:tcPr>
            <w:tcW w:type="dxa" w:w="1984"/>
          </w:tcPr>
          <w:p>
            <w:r>
              <w:rPr>
                <w:sz w:val="20"/>
              </w:rPr>
              <w:t>nano-island encapsulated single cobalt atom (Co&lt;sub&gt;SA/Zn.O&lt;/sub&gt;-ZnO)</w:t>
            </w:r>
          </w:p>
        </w:tc>
        <w:tc>
          <w:tcPr>
            <w:tcW w:type="dxa" w:w="2268"/>
          </w:tcPr>
          <w:p>
            <w:r>
              <w:rPr>
                <w:sz w:val="20"/>
              </w:rPr>
              <w:t>characterized by robust</w:t>
            </w:r>
          </w:p>
        </w:tc>
        <w:tc>
          <w:tcPr>
            <w:tcW w:type="dxa" w:w="1984"/>
          </w:tcPr>
          <w:p>
            <w:r>
              <w:rPr>
                <w:sz w:val="20"/>
              </w:rPr>
              <w:t>catalytic performance</w:t>
            </w:r>
          </w:p>
        </w:tc>
        <w:tc>
          <w:tcPr>
            <w:tcW w:type="dxa" w:w="850"/>
          </w:tcPr>
          <w:p>
            <w:r>
              <w:rPr>
                <w:sz w:val="20"/>
              </w:rPr>
              <w:t>1.0</w:t>
            </w:r>
          </w:p>
        </w:tc>
      </w:tr>
    </w:tbl>
    <w:p/>
    <w:p/>
    <w:p>
      <w:pPr>
        <w:pStyle w:val="Heading3"/>
      </w:pPr>
      <w:r>
        <w:t>样例 2: High-entropy alloy enables multi-path electron synergism and lattice oxygen acti...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high-entropy alloys (HEAs)</w:t>
            </w:r>
          </w:p>
        </w:tc>
        <w:tc>
          <w:tcPr>
            <w:tcW w:type="dxa" w:w="2268"/>
          </w:tcPr>
          <w:p>
            <w:r>
              <w:rPr>
                <w:sz w:val="20"/>
              </w:rPr>
              <w:t>activate</w:t>
            </w:r>
          </w:p>
        </w:tc>
        <w:tc>
          <w:tcPr>
            <w:tcW w:type="dxa" w:w="1984"/>
          </w:tcPr>
          <w:p>
            <w:r>
              <w:rPr>
                <w:sz w:val="20"/>
              </w:rPr>
              <w:t>lattice oxygen activation mechanism (LOM)</w:t>
            </w:r>
          </w:p>
        </w:tc>
        <w:tc>
          <w:tcPr>
            <w:tcW w:type="dxa" w:w="850"/>
          </w:tcPr>
          <w:p>
            <w:r>
              <w:rPr>
                <w:sz w:val="20"/>
              </w:rPr>
              <w:t>1.0</w:t>
            </w:r>
          </w:p>
        </w:tc>
      </w:tr>
      <w:tr>
        <w:tc>
          <w:tcPr>
            <w:tcW w:type="dxa" w:w="1984"/>
          </w:tcPr>
          <w:p>
            <w:r>
              <w:rPr>
                <w:sz w:val="20"/>
              </w:rPr>
              <w:t>multi-path electron transfer</w:t>
            </w:r>
          </w:p>
        </w:tc>
        <w:tc>
          <w:tcPr>
            <w:tcW w:type="dxa" w:w="2268"/>
          </w:tcPr>
          <w:p>
            <w:r>
              <w:rPr>
                <w:sz w:val="20"/>
              </w:rPr>
              <w:t>synergistic</w:t>
            </w:r>
          </w:p>
        </w:tc>
        <w:tc>
          <w:tcPr>
            <w:tcW w:type="dxa" w:w="1984"/>
          </w:tcPr>
          <w:p>
            <w:r>
              <w:rPr>
                <w:sz w:val="20"/>
              </w:rPr>
              <w:t>high-entropy alloys (HEAs)</w:t>
            </w:r>
          </w:p>
        </w:tc>
        <w:tc>
          <w:tcPr>
            <w:tcW w:type="dxa" w:w="850"/>
          </w:tcPr>
          <w:p>
            <w:r>
              <w:rPr>
                <w:sz w:val="20"/>
              </w:rPr>
              <w:t>1.0</w:t>
            </w:r>
          </w:p>
        </w:tc>
      </w:tr>
      <w:tr>
        <w:tc>
          <w:tcPr>
            <w:tcW w:type="dxa" w:w="1984"/>
          </w:tcPr>
          <w:p>
            <w:r>
              <w:rPr>
                <w:sz w:val="20"/>
              </w:rPr>
              <w:t>Ni-Co dual-site</w:t>
            </w:r>
          </w:p>
        </w:tc>
        <w:tc>
          <w:tcPr>
            <w:tcW w:type="dxa" w:w="2268"/>
          </w:tcPr>
          <w:p>
            <w:r>
              <w:rPr>
                <w:sz w:val="20"/>
              </w:rPr>
              <w:t>enable effective</w:t>
            </w:r>
          </w:p>
        </w:tc>
        <w:tc>
          <w:tcPr>
            <w:tcW w:type="dxa" w:w="1984"/>
          </w:tcPr>
          <w:p>
            <w:r>
              <w:rPr>
                <w:sz w:val="20"/>
              </w:rPr>
              <w:t>lattice oxygen activation mechanism (LOM)</w:t>
            </w:r>
          </w:p>
        </w:tc>
        <w:tc>
          <w:tcPr>
            <w:tcW w:type="dxa" w:w="850"/>
          </w:tcPr>
          <w:p>
            <w:r>
              <w:rPr>
                <w:sz w:val="20"/>
              </w:rPr>
              <w:t>1.0</w:t>
            </w:r>
          </w:p>
        </w:tc>
      </w:tr>
      <w:tr>
        <w:tc>
          <w:tcPr>
            <w:tcW w:type="dxa" w:w="1984"/>
          </w:tcPr>
          <w:p>
            <w:r>
              <w:rPr>
                <w:sz w:val="20"/>
              </w:rPr>
              <w:t>Co-O bonds</w:t>
            </w:r>
          </w:p>
        </w:tc>
        <w:tc>
          <w:tcPr>
            <w:tcW w:type="dxa" w:w="2268"/>
          </w:tcPr>
          <w:p>
            <w:r>
              <w:rPr>
                <w:sz w:val="20"/>
              </w:rPr>
              <w:t>aided by</w:t>
            </w:r>
          </w:p>
        </w:tc>
        <w:tc>
          <w:tcPr>
            <w:tcW w:type="dxa" w:w="1984"/>
          </w:tcPr>
          <w:p>
            <w:r>
              <w:rPr>
                <w:sz w:val="20"/>
              </w:rPr>
              <w:t>Ni-Co dual-site</w:t>
            </w:r>
          </w:p>
        </w:tc>
        <w:tc>
          <w:tcPr>
            <w:tcW w:type="dxa" w:w="850"/>
          </w:tcPr>
          <w:p>
            <w:r>
              <w:rPr>
                <w:sz w:val="20"/>
              </w:rPr>
              <w:t>1.0</w:t>
            </w:r>
          </w:p>
        </w:tc>
      </w:tr>
      <w:tr>
        <w:tc>
          <w:tcPr>
            <w:tcW w:type="dxa" w:w="1984"/>
          </w:tcPr>
          <w:p>
            <w:r>
              <w:rPr>
                <w:sz w:val="20"/>
              </w:rPr>
              <w:t>NiFeCoCrW&lt;sub&gt;0.2&lt;/sub&gt; HEA</w:t>
            </w:r>
          </w:p>
        </w:tc>
        <w:tc>
          <w:tcPr>
            <w:tcW w:type="dxa" w:w="2268"/>
          </w:tcPr>
          <w:p>
            <w:r>
              <w:rPr>
                <w:sz w:val="20"/>
              </w:rPr>
              <w:t>achieves</w:t>
            </w:r>
          </w:p>
        </w:tc>
        <w:tc>
          <w:tcPr>
            <w:tcW w:type="dxa" w:w="1984"/>
          </w:tcPr>
          <w:p>
            <w:r>
              <w:rPr>
                <w:sz w:val="20"/>
              </w:rPr>
              <w:t>overpotential</w:t>
            </w:r>
          </w:p>
        </w:tc>
        <w:tc>
          <w:tcPr>
            <w:tcW w:type="dxa" w:w="850"/>
          </w:tcPr>
          <w:p>
            <w:r>
              <w:rPr>
                <w:sz w:val="20"/>
              </w:rPr>
              <w:t>1.0</w:t>
            </w:r>
          </w:p>
        </w:tc>
      </w:tr>
    </w:tbl>
    <w:p/>
    <w:p/>
    <w:p>
      <w:pPr>
        <w:pStyle w:val="Heading3"/>
      </w:pPr>
      <w:r>
        <w:t>样例 3: MXene-Assisted NiFe sulfides for high-performance anion exchange membrane seawat...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MXene (Ti3C2)</w:t>
            </w:r>
          </w:p>
        </w:tc>
        <w:tc>
          <w:tcPr>
            <w:tcW w:type="dxa" w:w="2268"/>
          </w:tcPr>
          <w:p>
            <w:r>
              <w:rPr>
                <w:sz w:val="20"/>
              </w:rPr>
              <w:t>integrates with</w:t>
            </w:r>
          </w:p>
        </w:tc>
        <w:tc>
          <w:tcPr>
            <w:tcW w:type="dxa" w:w="1984"/>
          </w:tcPr>
          <w:p>
            <w:r>
              <w:rPr>
                <w:sz w:val="20"/>
              </w:rPr>
              <w:t>NiFe硫化物 ((Ni,Fe)S2@Ti3C2)</w:t>
            </w:r>
          </w:p>
        </w:tc>
        <w:tc>
          <w:tcPr>
            <w:tcW w:type="dxa" w:w="850"/>
          </w:tcPr>
          <w:p>
            <w:r>
              <w:rPr>
                <w:sz w:val="20"/>
              </w:rPr>
              <w:t>1.0</w:t>
            </w:r>
          </w:p>
        </w:tc>
      </w:tr>
      <w:tr>
        <w:tc>
          <w:tcPr>
            <w:tcW w:type="dxa" w:w="1984"/>
          </w:tcPr>
          <w:p>
            <w:r>
              <w:rPr>
                <w:sz w:val="20"/>
              </w:rPr>
              <w:t>NiFe硫化物 ((Ni,Fe)S2@Ti3C2)</w:t>
            </w:r>
          </w:p>
        </w:tc>
        <w:tc>
          <w:tcPr>
            <w:tcW w:type="dxa" w:w="2268"/>
          </w:tcPr>
          <w:p>
            <w:r>
              <w:rPr>
                <w:sz w:val="20"/>
              </w:rPr>
              <w:t>prohibits the dissolution of Fe species via</w:t>
            </w:r>
          </w:p>
        </w:tc>
        <w:tc>
          <w:tcPr>
            <w:tcW w:type="dxa" w:w="1984"/>
          </w:tcPr>
          <w:p>
            <w:r>
              <w:rPr>
                <w:sz w:val="20"/>
              </w:rPr>
              <w:t>Ti-O-Fe键</w:t>
            </w:r>
          </w:p>
        </w:tc>
        <w:tc>
          <w:tcPr>
            <w:tcW w:type="dxa" w:w="850"/>
          </w:tcPr>
          <w:p>
            <w:r>
              <w:rPr>
                <w:sz w:val="20"/>
              </w:rPr>
              <w:t>1.0</w:t>
            </w:r>
          </w:p>
        </w:tc>
      </w:tr>
      <w:tr>
        <w:tc>
          <w:tcPr>
            <w:tcW w:type="dxa" w:w="1984"/>
          </w:tcPr>
          <w:p>
            <w:r>
              <w:rPr>
                <w:sz w:val="20"/>
              </w:rPr>
              <w:t>MXene (Ti3C2)</w:t>
            </w:r>
          </w:p>
        </w:tc>
        <w:tc>
          <w:tcPr>
            <w:tcW w:type="dxa" w:w="2268"/>
          </w:tcPr>
          <w:p>
            <w:r>
              <w:rPr>
                <w:sz w:val="20"/>
              </w:rPr>
              <w:t>provides effective</w:t>
            </w:r>
          </w:p>
        </w:tc>
        <w:tc>
          <w:tcPr>
            <w:tcW w:type="dxa" w:w="1984"/>
          </w:tcPr>
          <w:p>
            <w:r>
              <w:rPr>
                <w:sz w:val="20"/>
              </w:rPr>
              <w:t>Cl-抗性</w:t>
            </w:r>
          </w:p>
        </w:tc>
        <w:tc>
          <w:tcPr>
            <w:tcW w:type="dxa" w:w="850"/>
          </w:tcPr>
          <w:p>
            <w:r>
              <w:rPr>
                <w:sz w:val="20"/>
              </w:rPr>
              <w:t>1.0</w:t>
            </w:r>
          </w:p>
        </w:tc>
      </w:tr>
      <w:tr>
        <w:tc>
          <w:tcPr>
            <w:tcW w:type="dxa" w:w="1984"/>
          </w:tcPr>
          <w:p>
            <w:r>
              <w:rPr>
                <w:sz w:val="20"/>
              </w:rPr>
              <w:t>NiFe硫化物 ((Ni,Fe)S2@Ti3C2)</w:t>
            </w:r>
          </w:p>
        </w:tc>
        <w:tc>
          <w:tcPr>
            <w:tcW w:type="dxa" w:w="2268"/>
          </w:tcPr>
          <w:p>
            <w:r>
              <w:rPr>
                <w:sz w:val="20"/>
              </w:rPr>
              <w:t>achieves high</w:t>
            </w:r>
          </w:p>
        </w:tc>
        <w:tc>
          <w:tcPr>
            <w:tcW w:type="dxa" w:w="1984"/>
          </w:tcPr>
          <w:p>
            <w:r>
              <w:rPr>
                <w:sz w:val="20"/>
              </w:rPr>
              <w:t>OER活性 (1.598 V@2 A cm-2)</w:t>
            </w:r>
          </w:p>
        </w:tc>
        <w:tc>
          <w:tcPr>
            <w:tcW w:type="dxa" w:w="850"/>
          </w:tcPr>
          <w:p>
            <w:r>
              <w:rPr>
                <w:sz w:val="20"/>
              </w:rPr>
              <w:t>1.0</w:t>
            </w:r>
          </w:p>
        </w:tc>
      </w:tr>
      <w:tr>
        <w:tc>
          <w:tcPr>
            <w:tcW w:type="dxa" w:w="1984"/>
          </w:tcPr>
          <w:p>
            <w:r>
              <w:rPr>
                <w:sz w:val="20"/>
              </w:rPr>
              <w:t>NiFe硫化物 ((Ni,Fe)S2@Ti3C2)</w:t>
            </w:r>
          </w:p>
        </w:tc>
        <w:tc>
          <w:tcPr>
            <w:tcW w:type="dxa" w:w="2268"/>
          </w:tcPr>
          <w:p>
            <w:r>
              <w:rPr>
                <w:sz w:val="20"/>
              </w:rPr>
              <w:t>achieves</w:t>
            </w:r>
          </w:p>
        </w:tc>
        <w:tc>
          <w:tcPr>
            <w:tcW w:type="dxa" w:w="1984"/>
          </w:tcPr>
          <w:p>
            <w:r>
              <w:rPr>
                <w:sz w:val="20"/>
              </w:rPr>
              <w:t>长期耐久性 (1000小时)</w:t>
            </w:r>
          </w:p>
        </w:tc>
        <w:tc>
          <w:tcPr>
            <w:tcW w:type="dxa" w:w="850"/>
          </w:tcPr>
          <w:p>
            <w:r>
              <w:rPr>
                <w:sz w:val="20"/>
              </w:rPr>
              <w:t>1.0</w:t>
            </w:r>
          </w:p>
        </w:tc>
      </w:tr>
    </w:tbl>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Nano-island-encapsulated cobalt single-atom catalysts for breaking activity-stab...</w:t>
      </w:r>
    </w:p>
    <w:p>
      <w:r>
        <w:rPr>
          <w:b/>
        </w:rPr>
        <w:t xml:space="preserve">一级查询: </w:t>
      </w:r>
      <w:r>
        <w:t>如何设计高效稳定的催化剂以提升类芬顿催化反应性能？</w:t>
      </w:r>
    </w:p>
    <w:p>
      <w:r>
        <w:rPr>
          <w:b/>
        </w:rPr>
        <w:t xml:space="preserve">二级查询: </w:t>
      </w:r>
      <w:r/>
    </w:p>
    <w:p>
      <w:pPr>
        <w:pStyle w:val="ListBullet"/>
        <w:ind w:left="850"/>
      </w:pPr>
      <w:r>
        <w:t>如何结合纳米材料特性与单原子催化技术优化类芬顿催化体系？</w:t>
      </w:r>
    </w:p>
    <w:p>
      <w:pPr>
        <w:pStyle w:val="ListBullet"/>
        <w:ind w:left="850"/>
      </w:pPr>
      <w:r>
        <w:t>如何通过调控活性位点结构解决催化剂在过一硫酸盐体系中的活性-稳定性矛盾？</w:t>
      </w:r>
    </w:p>
    <w:p>
      <w:r>
        <w:rPr>
          <w:b/>
        </w:rPr>
        <w:t xml:space="preserve">三级查询: </w:t>
      </w:r>
      <w:r/>
    </w:p>
    <w:p>
      <w:pPr>
        <w:pStyle w:val="ListBullet"/>
        <w:ind w:left="850"/>
      </w:pPr>
      <w:r>
        <w:t>如何通过纳米岛封装单钴原子的协同效应，实现硫酸根自由基选择性生成与难降解污染物的高效去除？</w:t>
      </w:r>
    </w:p>
    <w:p>
      <w:pPr>
        <w:pStyle w:val="ListBullet"/>
        <w:ind w:left="850"/>
      </w:pPr>
      <w:r>
        <w:t>如何整合催化剂结构表征、自由基生成机制与污染物降解动力学，构建多循环稳定的水处理系统？</w:t>
      </w:r>
    </w:p>
    <w:p/>
    <w:p>
      <w:pPr>
        <w:pStyle w:val="Heading3"/>
      </w:pPr>
      <w:r>
        <w:t>样例 2: High-entropy alloy enables multi-path electron synergism and lattice oxygen acti...</w:t>
      </w:r>
    </w:p>
    <w:p>
      <w:r>
        <w:rPr>
          <w:b/>
        </w:rPr>
        <w:t xml:space="preserve">一级查询: </w:t>
      </w:r>
      <w:r>
        <w:t>如何提升电催化析氧反应的活性？</w:t>
      </w:r>
    </w:p>
    <w:p>
      <w:r>
        <w:rPr>
          <w:b/>
        </w:rPr>
        <w:t xml:space="preserve">二级查询: </w:t>
      </w:r>
      <w:r/>
    </w:p>
    <w:p>
      <w:pPr>
        <w:pStyle w:val="ListBullet"/>
        <w:ind w:left="850"/>
      </w:pPr>
      <w:r>
        <w:t>如何利用高熵合金提升电催化析氧反应的活性？</w:t>
      </w:r>
    </w:p>
    <w:p>
      <w:pPr>
        <w:pStyle w:val="ListBullet"/>
        <w:ind w:left="850"/>
      </w:pPr>
      <w:r>
        <w:t>如何通过晶格氧活化机制提升电催化析氧反应的活性？</w:t>
      </w:r>
    </w:p>
    <w:p>
      <w:r>
        <w:rPr>
          <w:b/>
        </w:rPr>
        <w:t xml:space="preserve">三级查询: </w:t>
      </w:r>
      <w:r/>
    </w:p>
    <w:p>
      <w:pPr>
        <w:pStyle w:val="ListBullet"/>
        <w:ind w:left="850"/>
      </w:pPr>
      <w:r>
        <w:t>高熵合金如何通过多路径电子转移协同激活晶格氧活化机制，从而提升电催化析氧反应的活性？</w:t>
      </w:r>
    </w:p>
    <w:p>
      <w:pPr>
        <w:pStyle w:val="ListBullet"/>
        <w:ind w:left="850"/>
      </w:pPr>
      <w:r>
        <w:t>镍-钴双位点如何通过钴-氧键的整合促进晶格氧活化机制，进而提升电催化析氧反应的活性？</w:t>
      </w:r>
    </w:p>
    <w:p/>
    <w:p>
      <w:pPr>
        <w:pStyle w:val="Heading3"/>
      </w:pPr>
      <w:r>
        <w:t>样例 3: MXene-Assisted NiFe sulfides for high-performance anion exchange membrane seawat...</w:t>
      </w:r>
    </w:p>
    <w:p>
      <w:r>
        <w:rPr>
          <w:b/>
        </w:rPr>
        <w:t xml:space="preserve">一级查询: </w:t>
      </w:r>
      <w:r>
        <w:t>如何提升阴离子交换膜海水电解的性能？</w:t>
      </w:r>
    </w:p>
    <w:p>
      <w:r>
        <w:rPr>
          <w:b/>
        </w:rPr>
        <w:t xml:space="preserve">二级查询: </w:t>
      </w:r>
      <w:r/>
    </w:p>
    <w:p>
      <w:pPr>
        <w:pStyle w:val="ListBullet"/>
        <w:ind w:left="850"/>
      </w:pPr>
      <w:r>
        <w:t>如何利用新型材料提升阴离子交换膜海水电解的性能？</w:t>
      </w:r>
    </w:p>
    <w:p>
      <w:pPr>
        <w:pStyle w:val="ListBullet"/>
        <w:ind w:left="850"/>
      </w:pPr>
      <w:r>
        <w:t>如何通过优化电催化剂提升阴离子交换膜海水电解的性能？</w:t>
      </w:r>
    </w:p>
    <w:p>
      <w:r>
        <w:rPr>
          <w:b/>
        </w:rPr>
        <w:t xml:space="preserve">三级查询: </w:t>
      </w:r>
      <w:r/>
    </w:p>
    <w:p>
      <w:pPr>
        <w:pStyle w:val="ListBullet"/>
        <w:ind w:left="850"/>
      </w:pPr>
      <w:r>
        <w:t>如何通过新型材料与电催化剂的协同作用提升阴离子交换膜海水电解的性能？</w:t>
      </w:r>
    </w:p>
    <w:p>
      <w:pPr>
        <w:pStyle w:val="ListBullet"/>
        <w:ind w:left="850"/>
      </w:pPr>
      <w:r>
        <w:t>如何通过材料与电催化剂的协同作用实现阴离子交换膜海水电解的高效与稳定？</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Nano-island-encapsulated cobalt single-atom catalysts for breaking activity-stab...</w:t>
      </w:r>
    </w:p>
    <w:p>
      <w:r>
        <w:rPr>
          <w:b/>
        </w:rPr>
        <w:t xml:space="preserve">一级假设 (1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单原子催化剂</w:t>
            </w:r>
          </w:p>
        </w:tc>
        <w:tc>
          <w:tcPr>
            <w:tcW w:type="dxa" w:w="2268"/>
          </w:tcPr>
          <w:p>
            <w:r>
              <w:rPr>
                <w:sz w:val="20"/>
              </w:rPr>
              <w:t>在</w:t>
            </w:r>
          </w:p>
        </w:tc>
        <w:tc>
          <w:tcPr>
            <w:tcW w:type="dxa" w:w="2268"/>
          </w:tcPr>
          <w:p>
            <w:r>
              <w:rPr>
                <w:sz w:val="20"/>
              </w:rPr>
              <w:t>类芬顿催化</w:t>
            </w:r>
          </w:p>
        </w:tc>
      </w:tr>
      <w:tr>
        <w:tc>
          <w:tcPr>
            <w:tcW w:type="dxa" w:w="850"/>
          </w:tcPr>
          <w:p>
            <w:r>
              <w:rPr>
                <w:sz w:val="20"/>
              </w:rPr>
              <w:t>2</w:t>
            </w:r>
          </w:p>
        </w:tc>
        <w:tc>
          <w:tcPr>
            <w:tcW w:type="dxa" w:w="2268"/>
          </w:tcPr>
          <w:p>
            <w:r>
              <w:rPr>
                <w:sz w:val="20"/>
              </w:rPr>
              <w:t>类芬顿催化</w:t>
            </w:r>
          </w:p>
        </w:tc>
        <w:tc>
          <w:tcPr>
            <w:tcW w:type="dxa" w:w="2268"/>
          </w:tcPr>
          <w:p>
            <w:r>
              <w:rPr>
                <w:sz w:val="20"/>
              </w:rPr>
              <w:t>面临</w:t>
            </w:r>
          </w:p>
        </w:tc>
        <w:tc>
          <w:tcPr>
            <w:tcW w:type="dxa" w:w="2268"/>
          </w:tcPr>
          <w:p>
            <w:r>
              <w:rPr>
                <w:sz w:val="20"/>
              </w:rPr>
              <w:t>活性-稳定性矛盾</w:t>
            </w:r>
          </w:p>
        </w:tc>
      </w:tr>
      <w:tr>
        <w:tc>
          <w:tcPr>
            <w:tcW w:type="dxa" w:w="850"/>
          </w:tcPr>
          <w:p>
            <w:r>
              <w:rPr>
                <w:sz w:val="20"/>
              </w:rPr>
              <w:t>3</w:t>
            </w:r>
          </w:p>
        </w:tc>
        <w:tc>
          <w:tcPr>
            <w:tcW w:type="dxa" w:w="2268"/>
          </w:tcPr>
          <w:p>
            <w:r>
              <w:rPr>
                <w:sz w:val="20"/>
              </w:rPr>
              <w:t>活性-稳定性矛盾</w:t>
            </w:r>
          </w:p>
        </w:tc>
        <w:tc>
          <w:tcPr>
            <w:tcW w:type="dxa" w:w="2268"/>
          </w:tcPr>
          <w:p>
            <w:r>
              <w:rPr>
                <w:sz w:val="20"/>
              </w:rPr>
              <w:t>需要通过</w:t>
            </w:r>
          </w:p>
        </w:tc>
        <w:tc>
          <w:tcPr>
            <w:tcW w:type="dxa" w:w="2268"/>
          </w:tcPr>
          <w:p>
            <w:r>
              <w:rPr>
                <w:sz w:val="20"/>
              </w:rPr>
              <w:t>纳米岛封装单钴原子催化剂</w:t>
            </w:r>
          </w:p>
        </w:tc>
      </w:tr>
    </w:tbl>
    <w:p/>
    <w:p>
      <w:r>
        <w:rPr>
          <w:b/>
        </w:rPr>
        <w:t xml:space="preserve">一级总结: </w:t>
      </w:r>
      <w:r/>
    </w:p>
    <w:p>
      <w:pPr>
        <w:pStyle w:val="ListBullet"/>
        <w:ind w:left="850"/>
      </w:pPr>
      <w:r>
        <w:t>单原子催化剂在类芬顿催化中表现出优异性能，但面临活性与稳定性的矛盾，需要通过纳米岛封装单钴原子催化剂的设计来解决。</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纳米材料特性</w:t>
            </w:r>
          </w:p>
        </w:tc>
        <w:tc>
          <w:tcPr>
            <w:tcW w:type="dxa" w:w="2268"/>
          </w:tcPr>
          <w:p>
            <w:r>
              <w:rPr>
                <w:sz w:val="20"/>
              </w:rPr>
              <w:t>结合</w:t>
            </w:r>
          </w:p>
        </w:tc>
        <w:tc>
          <w:tcPr>
            <w:tcW w:type="dxa" w:w="2268"/>
          </w:tcPr>
          <w:p>
            <w:r>
              <w:rPr>
                <w:sz w:val="20"/>
              </w:rPr>
              <w:t>单原子催化剂</w:t>
            </w:r>
          </w:p>
        </w:tc>
      </w:tr>
      <w:tr>
        <w:tc>
          <w:tcPr>
            <w:tcW w:type="dxa" w:w="850"/>
          </w:tcPr>
          <w:p>
            <w:r>
              <w:rPr>
                <w:sz w:val="20"/>
              </w:rPr>
              <w:t>2</w:t>
            </w:r>
          </w:p>
        </w:tc>
        <w:tc>
          <w:tcPr>
            <w:tcW w:type="dxa" w:w="2268"/>
          </w:tcPr>
          <w:p>
            <w:r>
              <w:rPr>
                <w:sz w:val="20"/>
              </w:rPr>
              <w:t>单原子催化剂</w:t>
            </w:r>
          </w:p>
        </w:tc>
        <w:tc>
          <w:tcPr>
            <w:tcW w:type="dxa" w:w="2268"/>
          </w:tcPr>
          <w:p>
            <w:r>
              <w:rPr>
                <w:sz w:val="20"/>
              </w:rPr>
              <w:t>优化</w:t>
            </w:r>
          </w:p>
        </w:tc>
        <w:tc>
          <w:tcPr>
            <w:tcW w:type="dxa" w:w="2268"/>
          </w:tcPr>
          <w:p>
            <w:r>
              <w:rPr>
                <w:sz w:val="20"/>
              </w:rPr>
              <w:t>类芬顿催化</w:t>
            </w:r>
          </w:p>
        </w:tc>
      </w:tr>
      <w:tr>
        <w:tc>
          <w:tcPr>
            <w:tcW w:type="dxa" w:w="850"/>
          </w:tcPr>
          <w:p>
            <w:r>
              <w:rPr>
                <w:sz w:val="20"/>
              </w:rPr>
              <w:t>3</w:t>
            </w:r>
          </w:p>
        </w:tc>
        <w:tc>
          <w:tcPr>
            <w:tcW w:type="dxa" w:w="2268"/>
          </w:tcPr>
          <w:p>
            <w:r>
              <w:rPr>
                <w:sz w:val="20"/>
              </w:rPr>
              <w:t>类芬顿催化</w:t>
            </w:r>
          </w:p>
        </w:tc>
        <w:tc>
          <w:tcPr>
            <w:tcW w:type="dxa" w:w="2268"/>
          </w:tcPr>
          <w:p>
            <w:r>
              <w:rPr>
                <w:sz w:val="20"/>
              </w:rPr>
              <w:t>提升</w:t>
            </w:r>
          </w:p>
        </w:tc>
        <w:tc>
          <w:tcPr>
            <w:tcW w:type="dxa" w:w="2268"/>
          </w:tcPr>
          <w:p>
            <w:r>
              <w:rPr>
                <w:sz w:val="20"/>
              </w:rPr>
              <w:t>催化性能</w:t>
            </w:r>
          </w:p>
        </w:tc>
      </w:tr>
    </w:tbl>
    <w:p/>
    <w:p>
      <w:r>
        <w:rPr>
          <w:b/>
        </w:rPr>
        <w:t xml:space="preserve">二级总结: </w:t>
      </w:r>
      <w:r/>
    </w:p>
    <w:p>
      <w:pPr>
        <w:pStyle w:val="ListBullet"/>
        <w:ind w:left="850"/>
      </w:pPr>
      <w:r>
        <w:t>通过结合纳米材料特性与单原子催化技术，优化类芬顿催化体系，从而提升催化性能。</w:t>
      </w:r>
    </w:p>
    <w:p>
      <w:pPr>
        <w:pStyle w:val="ListBullet"/>
        <w:ind w:left="850"/>
      </w:pPr>
      <w:r>
        <w:t>通过调控活性位点结构，利用纳米岛封装单钴原子催化剂激活过一硫酸盐，增强催化性能，解决活性-稳定性矛盾。</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纳米岛封装单钴原子催化剂</w:t>
            </w:r>
          </w:p>
        </w:tc>
        <w:tc>
          <w:tcPr>
            <w:tcW w:type="dxa" w:w="2268"/>
          </w:tcPr>
          <w:p>
            <w:r>
              <w:rPr>
                <w:sz w:val="20"/>
              </w:rPr>
              <w:t>通过协同效应增强</w:t>
            </w:r>
          </w:p>
        </w:tc>
        <w:tc>
          <w:tcPr>
            <w:tcW w:type="dxa" w:w="2268"/>
          </w:tcPr>
          <w:p>
            <w:r>
              <w:rPr>
                <w:sz w:val="20"/>
              </w:rPr>
              <w:t>过一硫酸盐</w:t>
            </w:r>
          </w:p>
        </w:tc>
      </w:tr>
      <w:tr>
        <w:tc>
          <w:tcPr>
            <w:tcW w:type="dxa" w:w="850"/>
          </w:tcPr>
          <w:p>
            <w:r>
              <w:rPr>
                <w:sz w:val="20"/>
              </w:rPr>
              <w:t>2</w:t>
            </w:r>
          </w:p>
        </w:tc>
        <w:tc>
          <w:tcPr>
            <w:tcW w:type="dxa" w:w="2268"/>
          </w:tcPr>
          <w:p>
            <w:r>
              <w:rPr>
                <w:sz w:val="20"/>
              </w:rPr>
              <w:t>过一硫酸盐</w:t>
            </w:r>
          </w:p>
        </w:tc>
        <w:tc>
          <w:tcPr>
            <w:tcW w:type="dxa" w:w="2268"/>
          </w:tcPr>
          <w:p>
            <w:r>
              <w:rPr>
                <w:sz w:val="20"/>
              </w:rPr>
              <w:t>选择性生成</w:t>
            </w:r>
          </w:p>
        </w:tc>
        <w:tc>
          <w:tcPr>
            <w:tcW w:type="dxa" w:w="2268"/>
          </w:tcPr>
          <w:p>
            <w:r>
              <w:rPr>
                <w:sz w:val="20"/>
              </w:rPr>
              <w:t>硫酸根自由基</w:t>
            </w:r>
          </w:p>
        </w:tc>
      </w:tr>
      <w:tr>
        <w:tc>
          <w:tcPr>
            <w:tcW w:type="dxa" w:w="850"/>
          </w:tcPr>
          <w:p>
            <w:r>
              <w:rPr>
                <w:sz w:val="20"/>
              </w:rPr>
              <w:t>3</w:t>
            </w:r>
          </w:p>
        </w:tc>
        <w:tc>
          <w:tcPr>
            <w:tcW w:type="dxa" w:w="2268"/>
          </w:tcPr>
          <w:p>
            <w:r>
              <w:rPr>
                <w:sz w:val="20"/>
              </w:rPr>
              <w:t>硫酸根自由基</w:t>
            </w:r>
          </w:p>
        </w:tc>
        <w:tc>
          <w:tcPr>
            <w:tcW w:type="dxa" w:w="2268"/>
          </w:tcPr>
          <w:p>
            <w:r>
              <w:rPr>
                <w:sz w:val="20"/>
              </w:rPr>
              <w:t>高效去除</w:t>
            </w:r>
          </w:p>
        </w:tc>
        <w:tc>
          <w:tcPr>
            <w:tcW w:type="dxa" w:w="2268"/>
          </w:tcPr>
          <w:p>
            <w:r>
              <w:rPr>
                <w:sz w:val="20"/>
              </w:rPr>
              <w:t>难降解污染物</w:t>
            </w:r>
          </w:p>
        </w:tc>
      </w:tr>
    </w:tbl>
    <w:p/>
    <w:p>
      <w:r>
        <w:rPr>
          <w:b/>
        </w:rPr>
        <w:t xml:space="preserve">三级总结: </w:t>
      </w:r>
      <w:r/>
    </w:p>
    <w:p>
      <w:pPr>
        <w:pStyle w:val="ListBullet"/>
        <w:ind w:left="850"/>
      </w:pPr>
      <w:r>
        <w:t>纳米岛封装单钴原子催化剂通过协同效应增强过一硫酸盐活性，选择性生成硫酸根自由基并高效去除难降解污染物，形成闭环催化降解路径</w:t>
      </w:r>
    </w:p>
    <w:p>
      <w:pPr>
        <w:pStyle w:val="ListBullet"/>
        <w:ind w:left="850"/>
      </w:pPr>
      <w:r>
        <w:t>通过稳定活性位点结构维持高效催化性能，实现在复杂水体基质中的多循环稳定处理，构建可持续水处理系统</w:t>
      </w:r>
    </w:p>
    <w:p/>
    <w:p>
      <w:pPr>
        <w:pStyle w:val="Heading3"/>
      </w:pPr>
      <w:r>
        <w:t>样例 2: High-entropy alloy enables multi-path electron synergism and lattice oxygen acti...</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电催化析氧反应</w:t>
            </w:r>
          </w:p>
        </w:tc>
        <w:tc>
          <w:tcPr>
            <w:tcW w:type="dxa" w:w="2268"/>
          </w:tcPr>
          <w:p>
            <w:r>
              <w:rPr>
                <w:sz w:val="20"/>
              </w:rPr>
              <w:t>受限于</w:t>
            </w:r>
          </w:p>
        </w:tc>
        <w:tc>
          <w:tcPr>
            <w:tcW w:type="dxa" w:w="2268"/>
          </w:tcPr>
          <w:p>
            <w:r>
              <w:rPr>
                <w:sz w:val="20"/>
              </w:rPr>
              <w:t>晶格氧活化机制</w:t>
            </w:r>
          </w:p>
        </w:tc>
      </w:tr>
      <w:tr>
        <w:tc>
          <w:tcPr>
            <w:tcW w:type="dxa" w:w="850"/>
          </w:tcPr>
          <w:p>
            <w:r>
              <w:rPr>
                <w:sz w:val="20"/>
              </w:rPr>
              <w:t>2</w:t>
            </w:r>
          </w:p>
        </w:tc>
        <w:tc>
          <w:tcPr>
            <w:tcW w:type="dxa" w:w="2268"/>
          </w:tcPr>
          <w:p>
            <w:r>
              <w:rPr>
                <w:sz w:val="20"/>
              </w:rPr>
              <w:t>晶格氧活化机制</w:t>
            </w:r>
          </w:p>
        </w:tc>
        <w:tc>
          <w:tcPr>
            <w:tcW w:type="dxa" w:w="2268"/>
          </w:tcPr>
          <w:p>
            <w:r>
              <w:rPr>
                <w:sz w:val="20"/>
              </w:rPr>
              <w:t>可通过</w:t>
            </w:r>
          </w:p>
        </w:tc>
        <w:tc>
          <w:tcPr>
            <w:tcW w:type="dxa" w:w="2268"/>
          </w:tcPr>
          <w:p>
            <w:r>
              <w:rPr>
                <w:sz w:val="20"/>
              </w:rPr>
              <w:t>高熵合金</w:t>
            </w:r>
          </w:p>
        </w:tc>
      </w:tr>
      <w:tr>
        <w:tc>
          <w:tcPr>
            <w:tcW w:type="dxa" w:w="850"/>
          </w:tcPr>
          <w:p>
            <w:r>
              <w:rPr>
                <w:sz w:val="20"/>
              </w:rPr>
              <w:t>3</w:t>
            </w:r>
          </w:p>
        </w:tc>
        <w:tc>
          <w:tcPr>
            <w:tcW w:type="dxa" w:w="2268"/>
          </w:tcPr>
          <w:p>
            <w:r>
              <w:rPr>
                <w:sz w:val="20"/>
              </w:rPr>
              <w:t>高熵合金</w:t>
            </w:r>
          </w:p>
        </w:tc>
        <w:tc>
          <w:tcPr>
            <w:tcW w:type="dxa" w:w="2268"/>
          </w:tcPr>
          <w:p>
            <w:r>
              <w:rPr>
                <w:sz w:val="20"/>
              </w:rPr>
              <w:t>通过</w:t>
            </w:r>
          </w:p>
        </w:tc>
        <w:tc>
          <w:tcPr>
            <w:tcW w:type="dxa" w:w="2268"/>
          </w:tcPr>
          <w:p>
            <w:r>
              <w:rPr>
                <w:sz w:val="20"/>
              </w:rPr>
              <w:t>多路径电子转移</w:t>
            </w:r>
          </w:p>
        </w:tc>
      </w:tr>
    </w:tbl>
    <w:p/>
    <w:p>
      <w:r>
        <w:rPr>
          <w:b/>
        </w:rPr>
        <w:t xml:space="preserve">一级总结: </w:t>
      </w:r>
      <w:r/>
    </w:p>
    <w:p>
      <w:pPr>
        <w:pStyle w:val="ListBullet"/>
        <w:ind w:left="850"/>
      </w:pPr>
      <w:r>
        <w:t>电催化析氧反应的活性受限于晶格氧活化机制，高熵合金通过多路径电子转移协同激活晶格氧活化机制，从而提升反应活性。</w:t>
      </w:r>
    </w:p>
    <w:p>
      <w:pPr>
        <w:pStyle w:val="ListBullet"/>
        <w:ind w:left="850"/>
      </w:pPr>
      <w:r>
        <w:t>电催化析氧反应的活性受限于晶格氧活化机制，镍-钴双位点通过钴-氧键的整合促进晶格氧活化机制，进而提升反应活性。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通过协同作用促进</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有效激活</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提升活性</w:t>
            </w:r>
          </w:p>
        </w:tc>
        <w:tc>
          <w:tcPr>
            <w:tcW w:type="dxa" w:w="2268"/>
          </w:tcPr>
          <w:p>
            <w:r>
              <w:rPr>
                <w:sz w:val="20"/>
              </w:rPr>
              <w:t>电催化析氧反应</w:t>
            </w:r>
          </w:p>
        </w:tc>
      </w:tr>
    </w:tbl>
    <w:p/>
    <w:p>
      <w:r>
        <w:rPr>
          <w:b/>
        </w:rPr>
        <w:t xml:space="preserve">二级总结: </w:t>
      </w:r>
      <w:r/>
    </w:p>
    <w:p>
      <w:pPr>
        <w:pStyle w:val="ListBullet"/>
        <w:ind w:left="850"/>
      </w:pPr>
      <w:r>
        <w:t>高熵合金通过协同多路径电子转移激活晶格氧活化机制，进而提升电催化析氧反应的活性</w:t>
      </w:r>
    </w:p>
    <w:p>
      <w:pPr>
        <w:pStyle w:val="ListBullet"/>
        <w:ind w:left="850"/>
      </w:pPr>
      <w:r>
        <w:t>晶格氧活化机制通过镍-钴双位点整合弱化钴-氧键，促进电催化析氧反应活性提升</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通过协同作用驱动</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有效激活</w:t>
            </w:r>
          </w:p>
        </w:tc>
        <w:tc>
          <w:tcPr>
            <w:tcW w:type="dxa" w:w="2268"/>
          </w:tcPr>
          <w:p>
            <w:r>
              <w:rPr>
                <w:sz w:val="20"/>
              </w:rPr>
              <w:t>晶格氧活化机制</w:t>
            </w:r>
          </w:p>
        </w:tc>
      </w:tr>
      <w:tr>
        <w:tc>
          <w:tcPr>
            <w:tcW w:type="dxa" w:w="850"/>
          </w:tcPr>
          <w:p>
            <w:r>
              <w:rPr>
                <w:sz w:val="20"/>
              </w:rPr>
              <w:t>3</w:t>
            </w:r>
          </w:p>
        </w:tc>
        <w:tc>
          <w:tcPr>
            <w:tcW w:type="dxa" w:w="2268"/>
          </w:tcPr>
          <w:p>
            <w:r>
              <w:rPr>
                <w:sz w:val="20"/>
              </w:rPr>
              <w:t>晶格氧活化机制</w:t>
            </w:r>
          </w:p>
        </w:tc>
        <w:tc>
          <w:tcPr>
            <w:tcW w:type="dxa" w:w="2268"/>
          </w:tcPr>
          <w:p>
            <w:r>
              <w:rPr>
                <w:sz w:val="20"/>
              </w:rPr>
              <w:t>提升活性</w:t>
            </w:r>
          </w:p>
        </w:tc>
        <w:tc>
          <w:tcPr>
            <w:tcW w:type="dxa" w:w="2268"/>
          </w:tcPr>
          <w:p>
            <w:r>
              <w:rPr>
                <w:sz w:val="20"/>
              </w:rPr>
              <w:t>电催化析氧反应</w:t>
            </w:r>
          </w:p>
        </w:tc>
      </w:tr>
    </w:tbl>
    <w:p/>
    <w:p>
      <w:r>
        <w:rPr>
          <w:b/>
        </w:rPr>
        <w:t xml:space="preserve">三级总结: </w:t>
      </w:r>
      <w:r/>
    </w:p>
    <w:p>
      <w:pPr>
        <w:pStyle w:val="ListBullet"/>
        <w:ind w:left="850"/>
      </w:pPr>
      <w:r>
        <w:t>高熵合金通过协同多路径电子转移激活晶格氧活化机制，形成提升电催化析氧反应活性的闭环验证路径</w:t>
      </w:r>
    </w:p>
    <w:p>
      <w:pPr>
        <w:pStyle w:val="ListBullet"/>
        <w:ind w:left="850"/>
      </w:pPr>
      <w:r>
        <w:t>镍-钴双位点整合钴-氧键促进晶格氧活化机制，形成提升电催化析氧反应活性的闭环验证路径</w:t>
      </w:r>
    </w:p>
    <w:p/>
    <w:p>
      <w:pPr>
        <w:pStyle w:val="Heading3"/>
      </w:pPr>
      <w:r>
        <w:t>样例 3: MXene-Assisted NiFe sulfides for high-performance anion exchange membrane seawat...</w:t>
      </w:r>
    </w:p>
    <w:p>
      <w:r>
        <w:rPr>
          <w:b/>
        </w:rPr>
        <w:t xml:space="preserve">一级假设 (1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阴离子交换膜海水电解</w:t>
            </w:r>
          </w:p>
        </w:tc>
        <w:tc>
          <w:tcPr>
            <w:tcW w:type="dxa" w:w="2268"/>
          </w:tcPr>
          <w:p>
            <w:r>
              <w:rPr>
                <w:sz w:val="20"/>
              </w:rPr>
              <w:t>缺乏高稳定的</w:t>
            </w:r>
          </w:p>
        </w:tc>
        <w:tc>
          <w:tcPr>
            <w:tcW w:type="dxa" w:w="2268"/>
          </w:tcPr>
          <w:p>
            <w:r>
              <w:rPr>
                <w:sz w:val="20"/>
              </w:rPr>
              <w:t>氧析出反应电催化剂</w:t>
            </w:r>
          </w:p>
        </w:tc>
      </w:tr>
      <w:tr>
        <w:tc>
          <w:tcPr>
            <w:tcW w:type="dxa" w:w="850"/>
          </w:tcPr>
          <w:p>
            <w:r>
              <w:rPr>
                <w:sz w:val="20"/>
              </w:rPr>
              <w:t>2</w:t>
            </w:r>
          </w:p>
        </w:tc>
        <w:tc>
          <w:tcPr>
            <w:tcW w:type="dxa" w:w="2268"/>
          </w:tcPr>
          <w:p>
            <w:r>
              <w:rPr>
                <w:sz w:val="20"/>
              </w:rPr>
              <w:t>氧析出反应电催化剂</w:t>
            </w:r>
          </w:p>
        </w:tc>
        <w:tc>
          <w:tcPr>
            <w:tcW w:type="dxa" w:w="2268"/>
          </w:tcPr>
          <w:p>
            <w:r>
              <w:rPr>
                <w:sz w:val="20"/>
              </w:rPr>
              <w:t>通过整合</w:t>
            </w:r>
          </w:p>
        </w:tc>
        <w:tc>
          <w:tcPr>
            <w:tcW w:type="dxa" w:w="2268"/>
          </w:tcPr>
          <w:p>
            <w:r>
              <w:rPr>
                <w:sz w:val="20"/>
              </w:rPr>
              <w:t>）</w:t>
            </w:r>
          </w:p>
        </w:tc>
      </w:tr>
      <w:tr>
        <w:tc>
          <w:tcPr>
            <w:tcW w:type="dxa" w:w="850"/>
          </w:tcPr>
          <w:p>
            <w:r>
              <w:rPr>
                <w:sz w:val="20"/>
              </w:rPr>
              <w:t>3</w:t>
            </w:r>
          </w:p>
        </w:tc>
        <w:tc>
          <w:tcPr>
            <w:tcW w:type="dxa" w:w="2268"/>
          </w:tcPr>
          <w:p>
            <w:r>
              <w:rPr>
                <w:sz w:val="20"/>
              </w:rPr>
              <w:t>）</w:t>
            </w:r>
          </w:p>
        </w:tc>
        <w:tc>
          <w:tcPr>
            <w:tcW w:type="dxa" w:w="2268"/>
          </w:tcPr>
          <w:p>
            <w:r>
              <w:rPr>
                <w:sz w:val="20"/>
              </w:rPr>
              <w:t>与</w:t>
            </w:r>
          </w:p>
        </w:tc>
        <w:tc>
          <w:tcPr>
            <w:tcW w:type="dxa" w:w="2268"/>
          </w:tcPr>
          <w:p>
            <w:r>
              <w:rPr>
                <w:sz w:val="20"/>
              </w:rPr>
              <w:t>硫化物 ((,)@)</w:t>
            </w:r>
          </w:p>
        </w:tc>
      </w:tr>
    </w:tbl>
    <w:p/>
    <w:p>
      <w:r>
        <w:rPr>
          <w:b/>
        </w:rPr>
        <w:t xml:space="preserve">一级总结: </w:t>
      </w:r>
      <w:r/>
    </w:p>
    <w:p>
      <w:pPr>
        <w:pStyle w:val="ListBullet"/>
        <w:ind w:left="850"/>
      </w:pPr>
      <w:r>
        <w:t>阴离子交换膜海水电解因缺乏高稳定电催化剂而性能受限，通过整合 ）与硫化物 ((,)@)可显著提升性能，需要材料科学领域支持以优化协同效应。</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w:t>
            </w:r>
          </w:p>
        </w:tc>
        <w:tc>
          <w:tcPr>
            <w:tcW w:type="dxa" w:w="2268"/>
          </w:tcPr>
          <w:p>
            <w:r>
              <w:rPr>
                <w:sz w:val="20"/>
              </w:rPr>
              <w:t>整合形成</w:t>
            </w:r>
          </w:p>
        </w:tc>
        <w:tc>
          <w:tcPr>
            <w:tcW w:type="dxa" w:w="2268"/>
          </w:tcPr>
          <w:p>
            <w:r>
              <w:rPr>
                <w:sz w:val="20"/>
              </w:rPr>
              <w:t>硫化物 ((,)@)</w:t>
            </w:r>
          </w:p>
        </w:tc>
      </w:tr>
      <w:tr>
        <w:tc>
          <w:tcPr>
            <w:tcW w:type="dxa" w:w="850"/>
          </w:tcPr>
          <w:p>
            <w:r>
              <w:rPr>
                <w:sz w:val="20"/>
              </w:rPr>
              <w:t>2</w:t>
            </w:r>
          </w:p>
        </w:tc>
        <w:tc>
          <w:tcPr>
            <w:tcW w:type="dxa" w:w="2268"/>
          </w:tcPr>
          <w:p>
            <w:r>
              <w:rPr>
                <w:sz w:val="20"/>
              </w:rPr>
              <w:t>硫化物 ((,)@)</w:t>
            </w:r>
          </w:p>
        </w:tc>
        <w:tc>
          <w:tcPr>
            <w:tcW w:type="dxa" w:w="2268"/>
          </w:tcPr>
          <w:p>
            <w:r>
              <w:rPr>
                <w:sz w:val="20"/>
              </w:rPr>
              <w:t>通过形成</w:t>
            </w:r>
          </w:p>
        </w:tc>
        <w:tc>
          <w:tcPr>
            <w:tcW w:type="dxa" w:w="2268"/>
          </w:tcPr>
          <w:p>
            <w:r>
              <w:rPr>
                <w:sz w:val="20"/>
              </w:rPr>
              <w:t>键</w:t>
            </w:r>
          </w:p>
        </w:tc>
      </w:tr>
      <w:tr>
        <w:tc>
          <w:tcPr>
            <w:tcW w:type="dxa" w:w="850"/>
          </w:tcPr>
          <w:p>
            <w:r>
              <w:rPr>
                <w:sz w:val="20"/>
              </w:rPr>
              <w:t>3</w:t>
            </w:r>
          </w:p>
        </w:tc>
        <w:tc>
          <w:tcPr>
            <w:tcW w:type="dxa" w:w="2268"/>
          </w:tcPr>
          <w:p>
            <w:r>
              <w:rPr>
                <w:sz w:val="20"/>
              </w:rPr>
              <w:t>键</w:t>
            </w:r>
          </w:p>
        </w:tc>
        <w:tc>
          <w:tcPr>
            <w:tcW w:type="dxa" w:w="2268"/>
          </w:tcPr>
          <w:p>
            <w:r>
              <w:rPr>
                <w:sz w:val="20"/>
              </w:rPr>
              <w:t>增强</w:t>
            </w:r>
          </w:p>
        </w:tc>
        <w:tc>
          <w:tcPr>
            <w:tcW w:type="dxa" w:w="2268"/>
          </w:tcPr>
          <w:p>
            <w:r>
              <w:rPr>
                <w:sz w:val="20"/>
              </w:rPr>
              <w:t>长期耐久性 (1000小时)</w:t>
            </w:r>
          </w:p>
        </w:tc>
      </w:tr>
    </w:tbl>
    <w:p/>
    <w:p>
      <w:r>
        <w:rPr>
          <w:b/>
        </w:rPr>
        <w:t xml:space="preserve">二级总结: </w:t>
      </w:r>
      <w:r/>
    </w:p>
    <w:p>
      <w:pPr>
        <w:pStyle w:val="ListBullet"/>
        <w:ind w:left="850"/>
      </w:pPr>
      <w:r>
        <w:t>通过与硫化物的整合形成键，从而增强电解系统的长期耐久性</w:t>
      </w:r>
    </w:p>
    <w:p>
      <w:pPr>
        <w:pStyle w:val="ListBullet"/>
        <w:ind w:left="850"/>
      </w:pPr>
      <w:r>
        <w:t>通过与硫化物的整合触发晶格氧机制，从而提升氧析出反应的活性</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w:t>
            </w:r>
          </w:p>
        </w:tc>
        <w:tc>
          <w:tcPr>
            <w:tcW w:type="dxa" w:w="2268"/>
          </w:tcPr>
          <w:p>
            <w:r>
              <w:rPr>
                <w:sz w:val="20"/>
              </w:rPr>
              <w:t>整合形成复合材料</w:t>
            </w:r>
          </w:p>
        </w:tc>
        <w:tc>
          <w:tcPr>
            <w:tcW w:type="dxa" w:w="2268"/>
          </w:tcPr>
          <w:p>
            <w:r>
              <w:rPr>
                <w:sz w:val="20"/>
              </w:rPr>
              <w:t>硫化物 ((,)@)</w:t>
            </w:r>
          </w:p>
        </w:tc>
      </w:tr>
      <w:tr>
        <w:tc>
          <w:tcPr>
            <w:tcW w:type="dxa" w:w="850"/>
          </w:tcPr>
          <w:p>
            <w:r>
              <w:rPr>
                <w:sz w:val="20"/>
              </w:rPr>
              <w:t>2</w:t>
            </w:r>
          </w:p>
        </w:tc>
        <w:tc>
          <w:tcPr>
            <w:tcW w:type="dxa" w:w="2268"/>
          </w:tcPr>
          <w:p>
            <w:r>
              <w:rPr>
                <w:sz w:val="20"/>
              </w:rPr>
              <w:t>硫化物 ((,)@)</w:t>
            </w:r>
          </w:p>
        </w:tc>
        <w:tc>
          <w:tcPr>
            <w:tcW w:type="dxa" w:w="2268"/>
          </w:tcPr>
          <w:p>
            <w:r>
              <w:rPr>
                <w:sz w:val="20"/>
              </w:rPr>
              <w:t>通过化学键稳定铁物种</w:t>
            </w:r>
          </w:p>
        </w:tc>
        <w:tc>
          <w:tcPr>
            <w:tcW w:type="dxa" w:w="2268"/>
          </w:tcPr>
          <w:p>
            <w:r>
              <w:rPr>
                <w:sz w:val="20"/>
              </w:rPr>
              <w:t>键</w:t>
            </w:r>
          </w:p>
        </w:tc>
      </w:tr>
      <w:tr>
        <w:tc>
          <w:tcPr>
            <w:tcW w:type="dxa" w:w="850"/>
          </w:tcPr>
          <w:p>
            <w:r>
              <w:rPr>
                <w:sz w:val="20"/>
              </w:rPr>
              <w:t>3</w:t>
            </w:r>
          </w:p>
        </w:tc>
        <w:tc>
          <w:tcPr>
            <w:tcW w:type="dxa" w:w="2268"/>
          </w:tcPr>
          <w:p>
            <w:r>
              <w:rPr>
                <w:sz w:val="20"/>
              </w:rPr>
              <w:t>键</w:t>
            </w:r>
          </w:p>
        </w:tc>
        <w:tc>
          <w:tcPr>
            <w:tcW w:type="dxa" w:w="2268"/>
          </w:tcPr>
          <w:p>
            <w:r>
              <w:rPr>
                <w:sz w:val="20"/>
              </w:rPr>
              <w:t>实现电解稳定性提升</w:t>
            </w:r>
          </w:p>
        </w:tc>
        <w:tc>
          <w:tcPr>
            <w:tcW w:type="dxa" w:w="2268"/>
          </w:tcPr>
          <w:p>
            <w:r>
              <w:rPr>
                <w:sz w:val="20"/>
              </w:rPr>
              <w:t>长期耐久性 (1000小时)</w:t>
            </w:r>
          </w:p>
        </w:tc>
      </w:tr>
    </w:tbl>
    <w:p/>
    <w:p>
      <w:r>
        <w:rPr>
          <w:b/>
        </w:rPr>
        <w:t xml:space="preserve">三级总结: </w:t>
      </w:r>
      <w:r/>
    </w:p>
    <w:p>
      <w:pPr>
        <w:pStyle w:val="ListBullet"/>
        <w:ind w:left="850"/>
      </w:pPr>
      <w:r>
        <w:t>通过与硫化物的复合构建稳定化学键，从而验证材料协同作用对电解耐久性的提升效果</w:t>
      </w:r>
    </w:p>
    <w:p>
      <w:pPr>
        <w:pStyle w:val="ListBullet"/>
        <w:ind w:left="850"/>
      </w:pPr>
      <w:r>
        <w:t>利用传导网络激活晶格氧机制，证实材料-催化剂协同作用对反应活性的增强机制</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Nano-island-encapsulated cobalt single-atom catalysts for breaking activity-stab...</w:t>
      </w:r>
    </w:p>
    <w:p>
      <w:r>
        <w:rPr>
          <w:b/>
        </w:rPr>
        <w:t xml:space="preserve">图谱规模: </w:t>
      </w:r>
      <w:r>
        <w:t>12 个节点, 22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0.2667</w:t>
            </w:r>
          </w:p>
        </w:tc>
      </w:tr>
      <w:tr>
        <w:tc>
          <w:tcPr>
            <w:tcW w:type="dxa" w:w="3402"/>
          </w:tcPr>
          <w:p>
            <w:r>
              <w:rPr>
                <w:sz w:val="20"/>
              </w:rPr>
              <w:t>coverage</w:t>
            </w:r>
          </w:p>
        </w:tc>
        <w:tc>
          <w:tcPr>
            <w:tcW w:type="dxa" w:w="2268"/>
          </w:tcPr>
          <w:p>
            <w:r>
              <w:rPr>
                <w:sz w:val="20"/>
              </w:rPr>
              <w:t>0.9000</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High-entropy alloy enables multi-path electron synergism and lattice oxygen acti...</w:t>
      </w:r>
    </w:p>
    <w:p>
      <w:r>
        <w:rPr>
          <w:b/>
        </w:rPr>
        <w:t xml:space="preserve">图谱规模: </w:t>
      </w:r>
      <w:r>
        <w:t>10 个节点, 24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0.0000</w:t>
            </w:r>
          </w:p>
        </w:tc>
      </w:tr>
      <w:tr>
        <w:tc>
          <w:tcPr>
            <w:tcW w:type="dxa" w:w="3402"/>
          </w:tcPr>
          <w:p>
            <w:r>
              <w:rPr>
                <w:sz w:val="20"/>
              </w:rPr>
              <w:t>coverage</w:t>
            </w:r>
          </w:p>
        </w:tc>
        <w:tc>
          <w:tcPr>
            <w:tcW w:type="dxa" w:w="2268"/>
          </w:tcPr>
          <w:p>
            <w:r>
              <w:rPr>
                <w:sz w:val="20"/>
              </w:rPr>
              <w:t>0.6000</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MXene-Assisted NiFe sulfides for high-performance anion exchange membrane seawat...</w:t>
      </w:r>
    </w:p>
    <w:p>
      <w:r>
        <w:rPr>
          <w:b/>
        </w:rPr>
        <w:t xml:space="preserve">图谱规模: </w:t>
      </w:r>
      <w:r>
        <w:t>17 个节点, 23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0.0000</w:t>
            </w:r>
          </w:p>
        </w:tc>
      </w:tr>
      <w:tr>
        <w:tc>
          <w:tcPr>
            <w:tcW w:type="dxa" w:w="3402"/>
          </w:tcPr>
          <w:p>
            <w:r>
              <w:rPr>
                <w:sz w:val="20"/>
              </w:rPr>
              <w:t>coverage</w:t>
            </w:r>
          </w:p>
        </w:tc>
        <w:tc>
          <w:tcPr>
            <w:tcW w:type="dxa" w:w="2268"/>
          </w:tcPr>
          <w:p>
            <w:r>
              <w:rPr>
                <w:sz w:val="20"/>
              </w:rPr>
              <w:t>0.3077</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p>
    <w:p>
      <w:r>
        <w:rPr>
          <w:b/>
        </w:rPr>
        <w:t xml:space="preserve">GT 术语数: </w:t>
      </w:r>
      <w:r>
        <w:t>10</w:t>
      </w:r>
    </w:p>
    <w:p>
      <w:r>
        <w:rPr>
          <w:b/>
        </w:rPr>
        <w:t xml:space="preserve">GT 关系数: </w:t>
      </w:r>
      <w:r>
        <w:t>8</w:t>
      </w:r>
    </w:p>
    <w:p>
      <w:r>
        <w:rPr>
          <w:b/>
        </w:rPr>
        <w:t xml:space="preserve">GT 路径数: </w:t>
      </w:r>
      <w:r>
        <w:t>0</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p>
    <w:p>
      <w:r>
        <w:rPr>
          <w:b/>
        </w:rPr>
        <w:t xml:space="preserve">GT 术语数: </w:t>
      </w:r>
      <w:r>
        <w:t>10</w:t>
      </w:r>
    </w:p>
    <w:p>
      <w:r>
        <w:rPr>
          <w:b/>
        </w:rPr>
        <w:t xml:space="preserve">GT 关系数: </w:t>
      </w:r>
      <w:r>
        <w:t>3</w:t>
      </w:r>
    </w:p>
    <w:p>
      <w:r>
        <w:rPr>
          <w:b/>
        </w:rPr>
        <w:t xml:space="preserve">GT 路径数: </w:t>
      </w:r>
      <w:r>
        <w:t>0</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p>
    <w:p>
      <w:r>
        <w:rPr>
          <w:b/>
        </w:rPr>
        <w:t xml:space="preserve">GT 术语数: </w:t>
      </w:r>
      <w:r>
        <w:t>13</w:t>
      </w:r>
    </w:p>
    <w:p>
      <w:r>
        <w:rPr>
          <w:b/>
        </w:rPr>
        <w:t xml:space="preserve">GT 关系数: </w:t>
      </w:r>
      <w:r>
        <w:t>3</w:t>
      </w:r>
    </w:p>
    <w:p>
      <w:r>
        <w:rPr>
          <w:b/>
        </w:rPr>
        <w:t xml:space="preserve">GT 路径数: </w:t>
      </w:r>
      <w:r>
        <w:t>0</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Tailoring industrial enzymes for thermostability and activity evolution by the machine learning-base...</w:t>
      </w:r>
    </w:p>
    <w:p>
      <w:r>
        <w:rPr>
          <w:b/>
        </w:rPr>
        <w:t xml:space="preserve">主学科: </w:t>
      </w:r>
      <w:r>
        <w:t>生物学</w:t>
      </w:r>
    </w:p>
    <w:p>
      <w:r>
        <w:rPr>
          <w:b/>
        </w:rPr>
        <w:t xml:space="preserve">耗时: </w:t>
      </w:r>
      <w:r>
        <w:t>6.9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**Hypothesis:**  </w:t>
      </w:r>
    </w:p>
    <w:p>
      <w:pPr>
        <w:spacing w:before="0" w:after="0" w:line="276" w:lineRule="auto"/>
        <w:ind w:left="567"/>
      </w:pPr>
      <w:r>
        <w:rPr>
          <w:rFonts w:ascii="Consolas" w:hAnsi="Consolas"/>
          <w:color w:val="2D2D2D"/>
          <w:sz w:val="18"/>
          <w:shd w:val="clear" w:color="auto" w:fill="F2F2F2"/>
        </w:rPr>
        <w:t>通过定向进化结合机器学习预测，在工业酶的特定柔性区域（如loop区）引入可控的疏水核心和静电网络优化，可以协同提升热稳定性与催化活性。具体而言，选择靠近活性位点的3-5个高B因子残基，用疏水性氨基酸增强局部刚性（如Ile/Leu替换），同时在邻近区域引入带相反电荷的残基对（如Lys-Glu）形成静电稳定，二者协同作用将显著降低热失活能垒而不影响底物结合。这一策略可通过高通量筛选结合分子动力学模拟验证，预期突变体在65°C下的半衰期延长≥3倍且kcat/Km提升≥50%。</w:t>
      </w:r>
    </w:p>
    <w:p/>
    <w:p>
      <w:pPr>
        <w:pStyle w:val="Heading3"/>
      </w:pPr>
      <w:r>
        <w:t>P2 样例</w:t>
      </w:r>
    </w:p>
    <w:p>
      <w:r>
        <w:rPr>
          <w:b/>
        </w:rPr>
        <w:t xml:space="preserve">论文: </w:t>
      </w:r>
      <w:r>
        <w:t>Tailoring industrial enzymes for thermostability and activity evolution by the machine learning-base...</w:t>
      </w:r>
    </w:p>
    <w:p>
      <w:r>
        <w:rPr>
          <w:b/>
        </w:rPr>
        <w:t xml:space="preserve">主学科: </w:t>
      </w:r>
      <w:r>
        <w:t>生物学</w:t>
      </w:r>
    </w:p>
    <w:p>
      <w:r>
        <w:rPr>
          <w:b/>
        </w:rPr>
        <w:t xml:space="preserve">耗时: </w:t>
      </w:r>
      <w:r>
        <w:t>7.5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The integration of isothermal compressibility measurements with dynamic structural perturbation analysis can predict optimal enzyme variants that simultaneously achieve high thermal stability and catalytic activity by identifying key hierarchical modular networks that balance structural rigidity and functional flexibility, overcoming the traditional stability-activity trade-off.</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Supervised machine learning models trained on structural dynamic response patterns (e.g., compressibility fluctuations and residue interaction networks) can accurately predict epistatic interactions that lead to optimal enzyme variants, enabling computational design of industrial enzymes with both enhanced thermostability and activity without extensive experimental screening.</w:t>
      </w:r>
    </w:p>
    <w:p>
      <w:pPr>
        <w:spacing w:before="0" w:after="0" w:line="276" w:lineRule="auto"/>
        <w:ind w:left="567"/>
      </w:pPr>
      <w:r>
        <w:rPr>
          <w:rFonts w:ascii="Consolas" w:hAnsi="Consolas"/>
          <w:color w:val="2D2D2D"/>
          <w:sz w:val="18"/>
          <w:shd w:val="clear" w:color="auto" w:fill="F2F2F2"/>
        </w:rPr>
        <w:t xml:space="preserve">  ...</w:t>
      </w:r>
    </w:p>
    <w:p/>
    <w:p>
      <w:pPr>
        <w:pStyle w:val="Heading3"/>
      </w:pPr>
      <w:r>
        <w:t>P3 样例</w:t>
      </w:r>
    </w:p>
    <w:p>
      <w:r>
        <w:rPr>
          <w:b/>
        </w:rPr>
        <w:t xml:space="preserve">论文: </w:t>
      </w:r>
      <w:r>
        <w:t>Tailoring industrial enzymes for thermostability and activity evolution by the machine learning-base...</w:t>
      </w:r>
    </w:p>
    <w:p>
      <w:r>
        <w:rPr>
          <w:b/>
        </w:rPr>
        <w:t xml:space="preserve">主学科: </w:t>
      </w:r>
      <w:r>
        <w:t>生物学</w:t>
      </w:r>
    </w:p>
    <w:p>
      <w:r>
        <w:rPr>
          <w:b/>
        </w:rPr>
        <w:t xml:space="preserve">耗时: </w:t>
      </w:r>
      <w:r>
        <w:t>13.8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generated hypotheses across three levels of research questions: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L1 Hypothesis: The integration of isothermal compressibility-assisted dynamic squeezing index perturbation engineering (iCASE) with hierarchical modular networks will enable simultaneous optimization of enzyme thermal stability and activity by creating distinct structural response mechanisms in different network modules, allowing independent evolution of stability and catalytic functions. This can be tested by comparing modular versus non-modular enzyme designs under thermal stress.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Machine learning models trained on structural response mechanisms can predict epistatic interactions in enzyme variants, enabling targeted optimization of both thermal stability and activity through strategic mut...</w:t>
      </w:r>
    </w:p>
    <w:p/>
    <w:p>
      <w:pPr>
        <w:pStyle w:val="Heading3"/>
      </w:pPr>
      <w:r>
        <w:t>P4 样例</w:t>
      </w:r>
    </w:p>
    <w:p>
      <w:r>
        <w:rPr>
          <w:b/>
        </w:rPr>
        <w:t xml:space="preserve">论文: </w:t>
      </w:r>
      <w:r>
        <w:t>Tailoring industrial enzymes for thermostability and activity evolution by the machine learning-base...</w:t>
      </w:r>
    </w:p>
    <w:p>
      <w:r>
        <w:rPr>
          <w:b/>
        </w:rPr>
        <w:t xml:space="preserve">主学科: </w:t>
      </w:r>
      <w:r>
        <w:t>生物学</w:t>
      </w:r>
    </w:p>
    <w:p>
      <w:r>
        <w:rPr>
          <w:b/>
        </w:rPr>
        <w:t xml:space="preserve">耗时: </w:t>
      </w:r>
      <w:r>
        <w:t>22.2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novel hypotheses structured according to your requested format:</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 xml:space="preserve">  hypothesis: The iCASE strategy's hierarchical modular networks can be adapted to optimize neural network architectures in machine learning by mimicking enzyme evolutionary principles, creating more efficient and adaptable AI systems.</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Premise: iCASE creates optimized hierarchical structures in enzymes through evolutionary principles</w:t>
      </w:r>
    </w:p>
    <w:p>
      <w:pPr>
        <w:spacing w:before="0" w:after="0" w:line="276" w:lineRule="auto"/>
        <w:ind w:left="567"/>
      </w:pPr>
      <w:r>
        <w:rPr>
          <w:rFonts w:ascii="Consolas" w:hAnsi="Consolas"/>
          <w:color w:val="2D2D2D"/>
          <w:sz w:val="18"/>
          <w:shd w:val="clear" w:color="auto" w:fill="F2F2F2"/>
        </w:rPr>
        <w:t xml:space="preserve">  2. Mechanism: Neural networks share similar needs for modular, adaptable architectures</w:t>
      </w:r>
    </w:p>
    <w:p>
      <w:pPr>
        <w:spacing w:before="0" w:after="0" w:line="276" w:lineRule="auto"/>
        <w:ind w:left="567"/>
      </w:pPr>
      <w:r>
        <w:rPr>
          <w:rFonts w:ascii="Consolas" w:hAnsi="Consolas"/>
          <w:color w:val="2D2D2D"/>
          <w:sz w:val="18"/>
          <w:shd w:val="clear" w:color="auto" w:fill="F2F2F2"/>
        </w:rPr>
        <w:t xml:space="preserve">  3. Prediction: Applying enzyme network principles to neural architectures will improve training efficiency and model adaptability</w:t>
      </w:r>
    </w:p>
    <w:p>
      <w:pPr>
        <w:spacing w:before="0" w:after="0" w:line="276" w:lineRule="auto"/>
        <w:ind w:left="567"/>
      </w:pPr>
      <w:r>
        <w:rPr>
          <w:rFonts w:ascii="Consolas" w:hAnsi="Consolas"/>
          <w:color w:val="2D2D2D"/>
          <w:sz w:val="18"/>
          <w:shd w:val="clear" w:color="auto" w:fill="F2F2F2"/>
        </w:rPr>
        <w:t xml:space="preserve">  key_concepts: [iCASE, hierarchical modular networks, neural networks, evolutionary principles]</w:t>
      </w:r>
    </w:p>
    <w:p>
      <w:pPr>
        <w:spacing w:before="0" w:after="0" w:line="276" w:lineRule="auto"/>
        <w:ind w:left="567"/>
      </w:pPr>
      <w:r>
        <w:rPr>
          <w:rFonts w:ascii="Consolas" w:hAnsi="Consolas"/>
          <w:color w:val="2D2D2D"/>
          <w:sz w:val="18"/>
          <w:shd w:val="clear" w:color="auto" w:fill="F2F2F2"/>
        </w:rPr>
        <w:t xml:space="preserve">  disciplines_bridged: [生物学, compu...</w:t>
      </w:r>
    </w:p>
    <w:p/>
    <w:p>
      <w:pPr>
        <w:pStyle w:val="Heading3"/>
      </w:pPr>
      <w:r>
        <w:t>P5 样例</w:t>
      </w:r>
    </w:p>
    <w:p>
      <w:r>
        <w:rPr>
          <w:b/>
        </w:rPr>
        <w:t xml:space="preserve">论文: </w:t>
      </w:r>
      <w:r>
        <w:t>Tailoring industrial enzymes for thermostability and activity evolution by the machine learning-base...</w:t>
      </w:r>
    </w:p>
    <w:p>
      <w:r>
        <w:rPr>
          <w:b/>
        </w:rPr>
        <w:t xml:space="preserve">主学科: </w:t>
      </w:r>
      <w:r>
        <w:t>生物学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酶 --[存在]--&gt; 稳定性-活性权衡</w:t>
      </w:r>
    </w:p>
    <w:p>
      <w:pPr>
        <w:spacing w:before="0" w:after="0" w:line="276" w:lineRule="auto"/>
        <w:ind w:left="567"/>
      </w:pPr>
      <w:r>
        <w:rPr>
          <w:rFonts w:ascii="Consolas" w:hAnsi="Consolas"/>
          <w:color w:val="2D2D2D"/>
          <w:sz w:val="18"/>
          <w:shd w:val="clear" w:color="auto" w:fill="F2F2F2"/>
        </w:rPr>
        <w:t>[L1] 稳定性-活性权衡 --[限制]--&gt; 适应性进化</w:t>
      </w:r>
    </w:p>
    <w:p>
      <w:pPr>
        <w:spacing w:before="0" w:after="0" w:line="276" w:lineRule="auto"/>
        <w:ind w:left="567"/>
      </w:pPr>
      <w:r>
        <w:rPr>
          <w:rFonts w:ascii="Consolas" w:hAnsi="Consolas"/>
          <w:color w:val="2D2D2D"/>
          <w:sz w:val="18"/>
          <w:shd w:val="clear" w:color="auto" w:fill="F2F2F2"/>
        </w:rPr>
        <w:t>[L1] 适应性进化 --[需要]--&gt; 动态响应预测模型</w:t>
      </w:r>
    </w:p>
    <w:p>
      <w:pPr>
        <w:spacing w:before="0" w:after="0" w:line="276" w:lineRule="auto"/>
        <w:ind w:left="567"/>
      </w:pPr>
      <w:r>
        <w:rPr>
          <w:rFonts w:ascii="Consolas" w:hAnsi="Consolas"/>
          <w:color w:val="2D2D2D"/>
          <w:sz w:val="18"/>
          <w:shd w:val="clear" w:color="auto" w:fill="F2F2F2"/>
        </w:rPr>
        <w:t>[L1] 酶 --[通过]--&gt; 等温压缩性辅助动态挤压指数扰动工程</w:t>
      </w:r>
    </w:p>
    <w:p>
      <w:pPr>
        <w:spacing w:before="0" w:after="0" w:line="276" w:lineRule="auto"/>
        <w:ind w:left="567"/>
      </w:pPr>
      <w:r>
        <w:rPr>
          <w:rFonts w:ascii="Consolas" w:hAnsi="Consolas"/>
          <w:color w:val="2D2D2D"/>
          <w:sz w:val="18"/>
          <w:shd w:val="clear" w:color="auto" w:fill="F2F2F2"/>
        </w:rPr>
        <w:t>[L1] 等温压缩性辅助动态挤压指数扰动工程 --[构建]--&gt; 分层模块化网络</w:t>
      </w:r>
    </w:p>
    <w:p>
      <w:pPr>
        <w:spacing w:before="0" w:after="0" w:line="276" w:lineRule="auto"/>
        <w:ind w:left="567"/>
      </w:pPr>
      <w:r>
        <w:rPr>
          <w:rFonts w:ascii="Consolas" w:hAnsi="Consolas"/>
          <w:color w:val="2D2D2D"/>
          <w:sz w:val="18"/>
          <w:shd w:val="clear" w:color="auto" w:fill="F2F2F2"/>
        </w:rPr>
        <w:t>[L1] 分层模块化网络 --[促进]--&gt; 结构响应机制</w:t>
      </w:r>
    </w:p>
    <w:p>
      <w:pPr>
        <w:spacing w:before="0" w:after="0" w:line="276" w:lineRule="auto"/>
        <w:ind w:left="567"/>
      </w:pPr>
      <w:r>
        <w:rPr>
          <w:rFonts w:ascii="Consolas" w:hAnsi="Consolas"/>
          <w:color w:val="2D2D2D"/>
          <w:sz w:val="18"/>
          <w:shd w:val="clear" w:color="auto" w:fill="F2F2F2"/>
        </w:rPr>
        <w:t>[L2] 机器学习 --[构建]--&gt; 动态响应预测模型</w:t>
      </w:r>
    </w:p>
    <w:p>
      <w:pPr>
        <w:spacing w:before="0" w:after="0" w:line="276" w:lineRule="auto"/>
        <w:ind w:left="567"/>
      </w:pPr>
      <w:r>
        <w:rPr>
          <w:rFonts w:ascii="Consolas" w:hAnsi="Consolas"/>
          <w:color w:val="2D2D2D"/>
          <w:sz w:val="18"/>
          <w:shd w:val="clear" w:color="auto" w:fill="F2F2F2"/>
        </w:rPr>
        <w:t>[L2] 动态响应预测模型 --[预测]--&gt; 酶功能和适应性</w:t>
      </w:r>
    </w:p>
    <w:p>
      <w:pPr>
        <w:spacing w:before="0" w:after="0" w:line="276" w:lineRule="auto"/>
        <w:ind w:left="567"/>
      </w:pPr>
      <w:r>
        <w:rPr>
          <w:rFonts w:ascii="Consolas" w:hAnsi="Consolas"/>
          <w:color w:val="2D2D2D"/>
          <w:sz w:val="18"/>
          <w:shd w:val="clear" w:color="auto" w:fill="F2F2F2"/>
        </w:rPr>
        <w:t>[L2] 酶功能和适应性 --[促进]--&gt; 适应性进化</w:t>
      </w:r>
    </w:p>
    <w:p>
      <w:pPr>
        <w:spacing w:before="0" w:after="0" w:line="276" w:lineRule="auto"/>
        <w:ind w:left="567"/>
      </w:pPr>
      <w:r>
        <w:rPr>
          <w:rFonts w:ascii="Consolas" w:hAnsi="Consolas"/>
          <w:color w:val="2D2D2D"/>
          <w:sz w:val="18"/>
          <w:shd w:val="clear" w:color="auto" w:fill="F2F2F2"/>
        </w:rPr>
        <w:t>[L2] 分层模块化网络 --[形成]--&gt; 结构响应机制</w:t>
      </w:r>
    </w:p>
    <w:p>
      <w:pPr>
        <w:spacing w:before="0" w:after="0" w:line="276" w:lineRule="auto"/>
        <w:ind w:left="567"/>
      </w:pPr>
      <w:r>
        <w:rPr>
          <w:rFonts w:ascii="Consolas" w:hAnsi="Consolas"/>
          <w:color w:val="2D2D2D"/>
          <w:sz w:val="18"/>
          <w:shd w:val="clear" w:color="auto" w:fill="F2F2F2"/>
        </w:rPr>
        <w:t>[L2] 结构响应机制 --[达到峰值]--&gt; 适应性进化</w:t>
      </w:r>
    </w:p>
    <w:p>
      <w:pPr>
        <w:spacing w:before="0" w:after="0" w:line="276" w:lineRule="auto"/>
        <w:ind w:left="567"/>
      </w:pPr>
      <w:r>
        <w:rPr>
          <w:rFonts w:ascii="Consolas" w:hAnsi="Consolas"/>
          <w:color w:val="2D2D2D"/>
          <w:sz w:val="18"/>
          <w:shd w:val="clear" w:color="auto" w:fill="F2F2F2"/>
        </w:rPr>
        <w:t>[L2] 适应性进化 --[优化]--&gt; 酶</w:t>
      </w:r>
    </w:p>
    <w:p>
      <w:pPr>
        <w:spacing w:before="0" w:after="0" w:line="276" w:lineRule="auto"/>
        <w:ind w:left="567"/>
      </w:pPr>
      <w:r>
        <w:rPr>
          <w:rFonts w:ascii="Consolas" w:hAnsi="Consolas"/>
          <w:color w:val="2D2D2D"/>
          <w:sz w:val="18"/>
          <w:shd w:val="clear" w:color="auto" w:fill="F2F2F2"/>
        </w:rPr>
        <w:t>[L3] 分层模块化网络 --[优化]--&gt; 酶</w:t>
      </w:r>
    </w:p>
    <w:p>
      <w:pPr>
        <w:spacing w:before="0" w:after="0" w:line="276" w:lineRule="auto"/>
        <w:ind w:left="567"/>
      </w:pPr>
      <w:r>
        <w:rPr>
          <w:rFonts w:ascii="Consolas" w:hAnsi="Consolas"/>
          <w:color w:val="2D2D2D"/>
          <w:sz w:val="18"/>
          <w:shd w:val="clear" w:color="auto" w:fill="F2F2F2"/>
        </w:rPr>
        <w:t>[L3] 酶 --[输入]--&gt; 动态响应预测模型</w:t>
      </w:r>
    </w:p>
    <w:p>
      <w:pPr>
        <w:spacing w:before="0" w:after="0" w:line="276" w:lineRule="auto"/>
        <w:ind w:left="567"/>
      </w:pPr>
      <w:r>
        <w:rPr>
          <w:rFonts w:ascii="Consolas" w:hAnsi="Consolas"/>
          <w:color w:val="2D2D2D"/>
          <w:sz w:val="18"/>
          <w:shd w:val="clear" w:color="auto" w:fill="F2F2F2"/>
        </w:rPr>
        <w:t>[L3] 动态响应预测模型 --[预测]--&gt; 酶功能和适应性</w:t>
      </w:r>
    </w:p>
    <w:p>
      <w:pPr>
        <w:spacing w:before="0" w:after="0" w:line="276" w:lineRule="auto"/>
        <w:ind w:left="567"/>
      </w:pPr>
      <w:r>
        <w:rPr>
          <w:rFonts w:ascii="Consolas" w:hAnsi="Consolas"/>
          <w:color w:val="2D2D2D"/>
          <w:sz w:val="18"/>
          <w:shd w:val="clear" w:color="auto" w:fill="F2F2F2"/>
        </w:rPr>
        <w:t>[L3] 结构响应机制 --[促进]--&gt; 适应性进化</w:t>
      </w:r>
    </w:p>
    <w:p>
      <w:pPr>
        <w:spacing w:before="0" w:after="0" w:line="276" w:lineRule="auto"/>
        <w:ind w:left="567"/>
      </w:pPr>
      <w:r>
        <w:rPr>
          <w:rFonts w:ascii="Consolas" w:hAnsi="Consolas"/>
          <w:color w:val="2D2D2D"/>
          <w:sz w:val="18"/>
          <w:shd w:val="clear" w:color="auto" w:fill="F2F2F2"/>
        </w:rPr>
        <w:t>[L3] 适应性进化 --[提升]--&gt; 酶</w:t>
      </w:r>
    </w:p>
    <w:p>
      <w:pPr>
        <w:spacing w:before="0" w:after="0" w:line="276" w:lineRule="auto"/>
        <w:ind w:left="567"/>
      </w:pPr>
      <w:r>
        <w:rPr>
          <w:rFonts w:ascii="Consolas" w:hAnsi="Consolas"/>
          <w:color w:val="2D2D2D"/>
          <w:sz w:val="18"/>
          <w:shd w:val="clear" w:color="auto" w:fill="F2F2F2"/>
        </w:rPr>
        <w:t>[L3] 酶 --[验证]--&gt; 动态响应预测模型</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8.667</w:t>
            </w:r>
          </w:p>
        </w:tc>
        <w:tc>
          <w:tcPr>
            <w:tcW w:type="dxa" w:w="960"/>
          </w:tcPr>
          <w:p>
            <w:r>
              <w:rPr>
                <w:sz w:val="20"/>
              </w:rPr>
              <w:t>8.333</w:t>
            </w:r>
          </w:p>
        </w:tc>
        <w:tc>
          <w:tcPr>
            <w:tcW w:type="dxa" w:w="960"/>
          </w:tcPr>
          <w:p>
            <w:r>
              <w:rPr>
                <w:sz w:val="20"/>
              </w:rPr>
              <w:t>7.333</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9.000</w:t>
            </w:r>
          </w:p>
        </w:tc>
        <w:tc>
          <w:tcPr>
            <w:tcW w:type="dxa" w:w="960"/>
          </w:tcPr>
          <w:p>
            <w:r>
              <w:rPr>
                <w:sz w:val="20"/>
              </w:rPr>
              <w:t>8.000</w:t>
            </w:r>
          </w:p>
        </w:tc>
        <w:tc>
          <w:tcPr>
            <w:tcW w:type="dxa" w:w="960"/>
          </w:tcPr>
          <w:p>
            <w:r>
              <w:rPr>
                <w:sz w:val="20"/>
              </w:rPr>
              <w:t>7.000</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8.667</w:t>
            </w:r>
          </w:p>
        </w:tc>
        <w:tc>
          <w:tcPr>
            <w:tcW w:type="dxa" w:w="960"/>
          </w:tcPr>
          <w:p>
            <w:r>
              <w:rPr>
                <w:sz w:val="20"/>
              </w:rPr>
              <w:t>8.333</w:t>
            </w:r>
          </w:p>
        </w:tc>
        <w:tc>
          <w:tcPr>
            <w:tcW w:type="dxa" w:w="960"/>
          </w:tcPr>
          <w:p>
            <w:r>
              <w:rPr>
                <w:sz w:val="20"/>
              </w:rPr>
              <w:t>7.333</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r>
          </w:p>
        </w:tc>
        <w:tc>
          <w:tcPr>
            <w:tcW w:type="dxa" w:w="960"/>
          </w:tcPr>
          <w:p>
            <w:r>
              <w:rPr>
                <w:sz w:val="20"/>
              </w:rPr>
            </w:r>
          </w:p>
        </w:tc>
        <w:tc>
          <w:tcPr>
            <w:tcW w:type="dxa" w:w="960"/>
          </w:tcPr>
          <w:p>
            <w:r>
              <w:rPr>
                <w:sz w:val="20"/>
              </w:rPr>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8.000</w:t>
            </w:r>
          </w:p>
        </w:tc>
        <w:tc>
          <w:tcPr>
            <w:tcW w:type="dxa" w:w="960"/>
          </w:tcPr>
          <w:p>
            <w:r>
              <w:rPr>
                <w:sz w:val="20"/>
              </w:rPr>
              <w:t>8.333</w:t>
            </w:r>
          </w:p>
        </w:tc>
        <w:tc>
          <w:tcPr>
            <w:tcW w:type="dxa" w:w="960"/>
          </w:tcPr>
          <w:p>
            <w:r>
              <w:rPr>
                <w:sz w:val="20"/>
              </w:rPr>
              <w:t>7.000</w:t>
            </w:r>
          </w:p>
        </w:tc>
      </w:tr>
    </w:tbl>
    <w:p/>
    <w:p>
      <w:pPr>
        <w:pStyle w:val="Heading2"/>
      </w:pPr>
      <w:r>
        <w:t>10.2 评测详细结果样例</w:t>
      </w:r>
    </w:p>
    <w:p>
      <w:pPr>
        <w:pStyle w:val="Heading3"/>
      </w:pPr>
      <w:r>
        <w:t>评测样例 1</w:t>
      </w:r>
    </w:p>
    <w:p>
      <w:r>
        <w:rPr>
          <w:b/>
        </w:rPr>
        <w:t xml:space="preserve">方法: </w:t>
      </w:r>
      <w:r/>
    </w:p>
    <w:p>
      <w:r>
        <w:rPr>
          <w:b/>
        </w:rPr>
        <w:t xml:space="preserve">论文ID: </w:t>
      </w:r>
      <w:r>
        <w:t>c5641167db43</w:t>
      </w:r>
    </w:p>
    <w:p/>
    <w:p>
      <w:pPr>
        <w:pStyle w:val="Heading3"/>
      </w:pPr>
      <w:r>
        <w:t>评测样例 2</w:t>
      </w:r>
    </w:p>
    <w:p>
      <w:r>
        <w:rPr>
          <w:b/>
        </w:rPr>
        <w:t xml:space="preserve">方法: </w:t>
      </w:r>
      <w:r/>
    </w:p>
    <w:p>
      <w:r>
        <w:rPr>
          <w:b/>
        </w:rPr>
        <w:t xml:space="preserve">论文ID: </w:t>
      </w:r>
      <w:r>
        <w:t>c5641167db43</w:t>
      </w:r>
    </w:p>
    <w:p/>
    <w:p>
      <w:pPr>
        <w:pStyle w:val="Heading3"/>
      </w:pPr>
      <w:r>
        <w:t>评测样例 3</w:t>
      </w:r>
    </w:p>
    <w:p>
      <w:r>
        <w:rPr>
          <w:b/>
        </w:rPr>
        <w:t xml:space="preserve">方法: </w:t>
      </w:r>
      <w:r/>
    </w:p>
    <w:p>
      <w:r>
        <w:rPr>
          <w:b/>
        </w:rPr>
        <w:t xml:space="preserve">论文ID: </w:t>
      </w:r>
      <w:r>
        <w:t>c5641167db43</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0.6603</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0.8983</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0.9167</w:t>
            </w:r>
          </w:p>
        </w:tc>
      </w:tr>
      <w:tr>
        <w:tc>
          <w:tcPr>
            <w:tcW w:type="dxa" w:w="3402"/>
          </w:tcPr>
          <w:p>
            <w:r>
              <w:rPr>
                <w:sz w:val="20"/>
              </w:rPr>
              <w:t>L1_embedding_bridging</w:t>
            </w:r>
          </w:p>
        </w:tc>
        <w:tc>
          <w:tcPr>
            <w:tcW w:type="dxa" w:w="2268"/>
          </w:tcPr>
          <w:p>
            <w:r>
              <w:rPr>
                <w:sz w:val="20"/>
              </w:rPr>
              <w:t>0.8572</w:t>
            </w:r>
          </w:p>
        </w:tc>
      </w:tr>
      <w:tr>
        <w:tc>
          <w:tcPr>
            <w:tcW w:type="dxa" w:w="3402"/>
          </w:tcPr>
          <w:p>
            <w:r>
              <w:rPr>
                <w:sz w:val="20"/>
              </w:rPr>
              <w:t>L1_chain_coherence</w:t>
            </w:r>
          </w:p>
        </w:tc>
        <w:tc>
          <w:tcPr>
            <w:tcW w:type="dxa" w:w="2268"/>
          </w:tcPr>
          <w:p>
            <w:r>
              <w:rPr>
                <w:sz w:val="20"/>
              </w:rPr>
              <w:t>0.6082</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0.8983</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0.5718</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0.8983</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