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56DB"/>
          <w:sz w:val="56"/>
        </w:rPr>
        <w:t>跨学科知识抽取与假设生成系统</w:t>
      </w:r>
    </w:p>
    <w:p>
      <w:pPr>
        <w:jc w:val="center"/>
      </w:pPr>
      <w:r>
        <w:rPr>
          <w:color w:val="666666"/>
          <w:sz w:val="32"/>
        </w:rPr>
        <w:t>Nature Communications 100篇全流程测试报告</w:t>
      </w:r>
    </w:p>
    <w:p/>
    <w:p>
      <w:pPr>
        <w:jc w:val="center"/>
      </w:pPr>
      <w:r>
        <w:rPr>
          <w:color w:val="999999"/>
          <w:sz w:val="24"/>
        </w:rPr>
        <w:t>生成日期: 2026-03-12</w:t>
      </w:r>
    </w:p>
    <w:p>
      <w:r>
        <w:br w:type="page"/>
      </w:r>
    </w:p>
    <w:p>
      <w:pPr>
        <w:pStyle w:val="Heading1"/>
      </w:pPr>
      <w:r>
        <w:t>目录</w:t>
      </w:r>
    </w:p>
    <w:p>
      <w:pPr>
        <w:pStyle w:val="ListBullet"/>
        <w:ind w:left="850"/>
      </w:pPr>
      <w:r>
        <w:t>一、项目概述与流程总览</w:t>
      </w:r>
    </w:p>
    <w:p>
      <w:pPr>
        <w:pStyle w:val="ListBullet"/>
        <w:ind w:left="850"/>
      </w:pPr>
      <w:r>
        <w:t>二、Stage 1：学科分类与跨学科筛选</w:t>
      </w:r>
    </w:p>
    <w:p>
      <w:pPr>
        <w:pStyle w:val="ListBullet"/>
        <w:ind w:left="850"/>
      </w:pPr>
      <w:r>
        <w:t>三、Stage 2a：概念抽取</w:t>
      </w:r>
    </w:p>
    <w:p>
      <w:pPr>
        <w:pStyle w:val="ListBullet"/>
        <w:ind w:left="850"/>
      </w:pPr>
      <w:r>
        <w:t>四、Stage 2b：跨学科关系抽取</w:t>
      </w:r>
    </w:p>
    <w:p>
      <w:pPr>
        <w:pStyle w:val="ListBullet"/>
        <w:ind w:left="850"/>
      </w:pPr>
      <w:r>
        <w:t>五、Stage 2c：三级查询生成</w:t>
      </w:r>
    </w:p>
    <w:p>
      <w:pPr>
        <w:pStyle w:val="ListBullet"/>
        <w:ind w:left="850"/>
      </w:pPr>
      <w:r>
        <w:t>六、Stage 2d：三级假设生成</w:t>
      </w:r>
    </w:p>
    <w:p>
      <w:pPr>
        <w:pStyle w:val="ListBullet"/>
        <w:ind w:left="850"/>
      </w:pPr>
      <w:r>
        <w:t>七、Stage 2e：知识图谱构建与指标</w:t>
      </w:r>
    </w:p>
    <w:p>
      <w:pPr>
        <w:pStyle w:val="ListBullet"/>
        <w:ind w:left="850"/>
      </w:pPr>
      <w:r>
        <w:t>八、Stage 3：Benchmark GT 数据集构建</w:t>
      </w:r>
    </w:p>
    <w:p>
      <w:pPr>
        <w:pStyle w:val="ListBullet"/>
        <w:ind w:left="850"/>
      </w:pPr>
      <w:r>
        <w:t>九、Stage 4：P1-P5 五级 Prompt 消融实验</w:t>
      </w:r>
    </w:p>
    <w:p>
      <w:pPr>
        <w:pStyle w:val="ListBullet"/>
        <w:ind w:left="850"/>
      </w:pPr>
      <w:r>
        <w:t>十、Stage 5：多维度评测结果</w:t>
      </w:r>
    </w:p>
    <w:p>
      <w:pPr>
        <w:pStyle w:val="ListBullet"/>
        <w:ind w:left="850"/>
      </w:pPr>
      <w:r>
        <w:t>十一、Stage 6：KG-based 结构化评测</w:t>
      </w:r>
    </w:p>
    <w:p>
      <w:pPr>
        <w:pStyle w:val="ListBullet"/>
        <w:ind w:left="850"/>
      </w:pPr>
      <w:r>
        <w:t>十二、总结与展望</w:t>
      </w:r>
    </w:p>
    <w:p>
      <w:r>
        <w:br w:type="page"/>
      </w:r>
    </w:p>
    <w:p>
      <w:pPr>
        <w:pStyle w:val="Heading1"/>
      </w:pPr>
      <w:r>
        <w:t>一、项目概述与流程总览</w:t>
      </w:r>
    </w:p>
    <w:p>
      <w:r>
        <w:t>本报告展示了跨学科知识抽取与假设生成系统在 Nature Communications 100 篇论文上的全流程测试结果。系统从学术论文中自动抽取跨学科概念、关系，生成结构化科学假设，并通过多维度指标进行评估。</w:t>
      </w:r>
    </w:p>
    <w:p>
      <w:pPr>
        <w:pStyle w:val="Heading2"/>
      </w:pPr>
      <w:r>
        <w:t>1.1 测试数据</w:t>
      </w:r>
    </w:p>
    <w:p>
      <w:pPr>
        <w:pStyle w:val="ListBullet"/>
        <w:ind w:left="850"/>
      </w:pPr>
      <w:r>
        <w:t>数据来源: OpenAlex 2025 年 Nature Communications 论文</w:t>
      </w:r>
    </w:p>
    <w:p>
      <w:pPr>
        <w:pStyle w:val="ListBullet"/>
        <w:ind w:left="850"/>
      </w:pPr>
      <w:r>
        <w:t>筛选条件: Nature 系列期刊 + 有摘要 + 英文</w:t>
      </w:r>
    </w:p>
    <w:p>
      <w:pPr>
        <w:pStyle w:val="ListBullet"/>
        <w:ind w:left="850"/>
      </w:pPr>
      <w:r>
        <w:t>测试规模: 100 篇论文</w:t>
      </w:r>
    </w:p>
    <w:p>
      <w:pPr>
        <w:pStyle w:val="Heading2"/>
      </w:pPr>
      <w:r>
        <w:t>1.2 端到端流程</w:t>
      </w:r>
    </w:p>
    <w:p>
      <w:pPr>
        <w:spacing w:before="0" w:after="0" w:line="276" w:lineRule="auto"/>
        <w:ind w:left="567"/>
      </w:pPr>
      <w:r>
        <w:rPr>
          <w:rFonts w:ascii="Consolas" w:hAnsi="Consolas"/>
          <w:color w:val="2D2D2D"/>
          <w:sz w:val="18"/>
          <w:shd w:val="clear" w:color="auto" w:fill="F2F2F2"/>
        </w:rPr>
        <w:t>输入 (100篇论文 JSONL)</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1: 学科分类 + 跨学科筛选 (~300次 LLM 调用)</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2: 三阶段知识抽取 (概念→关系→查询→假设, ~7次/篇)</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3: 构建 Benchmark GT 数据集</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4: P1-P5 五级 Prompt 假设生成 (消融实验)</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5: 多维度评测 (LLM-as-Judge + 文本相似度 + 结构化指标)</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6: KG-based 结构化评测</w:t>
      </w:r>
    </w:p>
    <w:p>
      <w:r>
        <w:br w:type="page"/>
      </w:r>
    </w:p>
    <w:p>
      <w:pPr>
        <w:pStyle w:val="Heading1"/>
      </w:pPr>
      <w:r>
        <w:t>二、Stage 1：学科分类与跨学科筛选</w:t>
      </w:r>
    </w:p>
    <w:p>
      <w:r>
        <w:t>对 100 篇论文进行层级学科分类，识别主学科与辅学科，筛选出跨学科论文。分类基于 MSC 层级分类体系，每篇论文约需 3 次 LLM 调用。</w:t>
      </w:r>
    </w:p>
    <w:p>
      <w:pPr>
        <w:pStyle w:val="Heading2"/>
      </w:pPr>
      <w:r>
        <w:t>2.1 分类结果样例（3篇）</w:t>
      </w:r>
    </w:p>
    <w:p>
      <w:pPr>
        <w:pStyle w:val="Heading3"/>
      </w:pPr>
      <w:r>
        <w:t>样例 1</w:t>
      </w:r>
    </w:p>
    <w:p>
      <w:r>
        <w:rPr>
          <w:b/>
        </w:rPr>
        <w:t xml:space="preserve">标题: </w:t>
      </w:r>
      <w:r>
        <w:t>Nano-island-encapsulated cobalt single-atom catalysts for breaking activity-stability trade-off in Fenton-like reactions</w:t>
      </w:r>
    </w:p>
    <w:p>
      <w:r>
        <w:rPr>
          <w:b/>
        </w:rPr>
        <w:t xml:space="preserve">主学科: </w:t>
      </w:r>
      <w:r>
        <w:t>化学</w:t>
      </w:r>
    </w:p>
    <w:p>
      <w:r>
        <w:rPr>
          <w:b/>
        </w:rPr>
        <w:t xml:space="preserve">辅学科: </w:t>
      </w:r>
      <w:r>
        <w:t>化学, 材料科学, 环境科学技术</w:t>
      </w:r>
    </w:p>
    <w:p>
      <w:r>
        <w:rPr>
          <w:b/>
        </w:rPr>
        <w:t xml:space="preserve">是否跨学科: </w:t>
      </w:r>
      <w:r>
        <w:t>是</w:t>
      </w:r>
    </w:p>
    <w:p/>
    <w:p>
      <w:pPr>
        <w:pStyle w:val="Heading3"/>
      </w:pPr>
      <w:r>
        <w:t>样例 2</w:t>
      </w:r>
    </w:p>
    <w:p>
      <w:r>
        <w:rPr>
          <w:b/>
        </w:rPr>
        <w:t xml:space="preserve">标题: </w:t>
      </w:r>
      <w:r>
        <w:t>High-entropy alloy enables multi-path electron synergism and lattice oxygen activation for enhanced oxygen evolution act...</w:t>
      </w:r>
    </w:p>
    <w:p>
      <w:r>
        <w:rPr>
          <w:b/>
        </w:rPr>
        <w:t xml:space="preserve">主学科: </w:t>
      </w:r>
      <w:r>
        <w:t>化学</w:t>
      </w:r>
    </w:p>
    <w:p>
      <w:r>
        <w:rPr>
          <w:b/>
        </w:rPr>
        <w:t xml:space="preserve">辅学科: </w:t>
      </w:r>
      <w:r>
        <w:t>化学, 材料科学</w:t>
      </w:r>
    </w:p>
    <w:p>
      <w:r>
        <w:rPr>
          <w:b/>
        </w:rPr>
        <w:t xml:space="preserve">是否跨学科: </w:t>
      </w:r>
      <w:r>
        <w:t>是</w:t>
      </w:r>
    </w:p>
    <w:p/>
    <w:p>
      <w:pPr>
        <w:pStyle w:val="Heading3"/>
      </w:pPr>
      <w:r>
        <w:t>样例 3</w:t>
      </w:r>
    </w:p>
    <w:p>
      <w:r>
        <w:rPr>
          <w:b/>
        </w:rPr>
        <w:t xml:space="preserve">标题: </w:t>
      </w:r>
      <w:r>
        <w:t>MXene-Assisted NiFe sulfides for high-performance anion exchange membrane seawater electrolysis</w:t>
      </w:r>
    </w:p>
    <w:p>
      <w:r>
        <w:rPr>
          <w:b/>
        </w:rPr>
        <w:t xml:space="preserve">主学科: </w:t>
      </w:r>
      <w:r>
        <w:t>化学</w:t>
      </w:r>
    </w:p>
    <w:p>
      <w:r>
        <w:rPr>
          <w:b/>
        </w:rPr>
        <w:t xml:space="preserve">辅学科: </w:t>
      </w:r>
      <w:r>
        <w:t>化学, 材料科学</w:t>
      </w:r>
    </w:p>
    <w:p>
      <w:r>
        <w:rPr>
          <w:b/>
        </w:rPr>
        <w:t xml:space="preserve">是否跨学科: </w:t>
      </w:r>
      <w:r>
        <w:t>是</w:t>
      </w:r>
    </w:p>
    <w:p/>
    <w:p>
      <w:r>
        <w:br w:type="page"/>
      </w:r>
    </w:p>
    <w:p>
      <w:pPr>
        <w:pStyle w:val="Heading1"/>
      </w:pPr>
      <w:r>
        <w:t>三、Stage 2a：概念抽取</w:t>
      </w:r>
    </w:p>
    <w:p>
      <w:r>
        <w:t>从论文标题和摘要中抽取专业术语，按主学科和辅学科分组。每个术语包含标准化形式、原文证据和置信度。</w:t>
      </w:r>
    </w:p>
    <w:p>
      <w:pPr>
        <w:pStyle w:val="Heading2"/>
      </w:pPr>
      <w:r>
        <w:t>3.1 概念抽取样例（3篇）</w:t>
      </w:r>
    </w:p>
    <w:p>
      <w:pPr>
        <w:pStyle w:val="Heading3"/>
      </w:pPr>
      <w:r>
        <w:t>样例 1: MXene-Assisted NiFe sulfides for high-performance anion exchange membrane seawat...</w:t>
      </w:r>
    </w:p>
    <w:p>
      <w:r>
        <w:rPr>
          <w:b/>
        </w:rPr>
        <w:t xml:space="preserve">主学科: </w:t>
      </w:r>
      <w:r>
        <w:t>化学</w:t>
      </w:r>
    </w:p>
    <w:p>
      <w:r>
        <w:rPr>
          <w:b/>
        </w:rPr>
        <w:t xml:space="preserve">主学科概念: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术语</w:t>
            </w:r>
          </w:p>
        </w:tc>
        <w:tc>
          <w:tcPr>
            <w:tcW w:type="dxa" w:w="1984"/>
          </w:tcPr>
          <w:p>
            <w:pPr>
              <w:jc w:val="center"/>
            </w:pPr>
            <w:r>
              <w:rPr>
                <w:b/>
                <w:sz w:val="20"/>
              </w:rPr>
              <w:t>标准化</w:t>
            </w:r>
          </w:p>
        </w:tc>
        <w:tc>
          <w:tcPr>
            <w:tcW w:type="dxa" w:w="3402"/>
          </w:tcPr>
          <w:p>
            <w:pPr>
              <w:jc w:val="center"/>
            </w:pPr>
            <w:r>
              <w:rPr>
                <w:b/>
                <w:sz w:val="20"/>
              </w:rPr>
              <w:t>证据</w:t>
            </w:r>
          </w:p>
        </w:tc>
        <w:tc>
          <w:tcPr>
            <w:tcW w:type="dxa" w:w="850"/>
          </w:tcPr>
          <w:p>
            <w:pPr>
              <w:jc w:val="center"/>
            </w:pPr>
            <w:r>
              <w:rPr>
                <w:b/>
                <w:sz w:val="20"/>
              </w:rPr>
              <w:t>置信度</w:t>
            </w:r>
          </w:p>
        </w:tc>
      </w:tr>
      <w:tr>
        <w:tc>
          <w:tcPr>
            <w:tcW w:type="dxa" w:w="1701"/>
          </w:tcPr>
          <w:p>
            <w:r>
              <w:rPr>
                <w:sz w:val="20"/>
              </w:rPr>
              <w:t>anion exchange membrane seawater electrolysis</w:t>
            </w:r>
          </w:p>
        </w:tc>
        <w:tc>
          <w:tcPr>
            <w:tcW w:type="dxa" w:w="1984"/>
          </w:tcPr>
          <w:p>
            <w:r>
              <w:rPr>
                <w:sz w:val="20"/>
              </w:rPr>
              <w:t>阴离子交换膜海水电解</w:t>
            </w:r>
          </w:p>
        </w:tc>
        <w:tc>
          <w:tcPr>
            <w:tcW w:type="dxa" w:w="3402"/>
          </w:tcPr>
          <w:p>
            <w:r>
              <w:rPr>
                <w:sz w:val="20"/>
              </w:rPr>
              <w:t>Anion exchange membrane seawater electrolysis is v...</w:t>
            </w:r>
          </w:p>
        </w:tc>
        <w:tc>
          <w:tcPr>
            <w:tcW w:type="dxa" w:w="850"/>
          </w:tcPr>
          <w:p>
            <w:r>
              <w:rPr>
                <w:sz w:val="20"/>
              </w:rPr>
              <w:t>1.0</w:t>
            </w:r>
          </w:p>
        </w:tc>
      </w:tr>
      <w:tr>
        <w:tc>
          <w:tcPr>
            <w:tcW w:type="dxa" w:w="1701"/>
          </w:tcPr>
          <w:p>
            <w:r>
              <w:rPr>
                <w:sz w:val="20"/>
              </w:rPr>
              <w:t>oxygen evolution reaction electrocatalysts</w:t>
            </w:r>
          </w:p>
        </w:tc>
        <w:tc>
          <w:tcPr>
            <w:tcW w:type="dxa" w:w="1984"/>
          </w:tcPr>
          <w:p>
            <w:r>
              <w:rPr>
                <w:sz w:val="20"/>
              </w:rPr>
              <w:t>氧析出反应电催化剂</w:t>
            </w:r>
          </w:p>
        </w:tc>
        <w:tc>
          <w:tcPr>
            <w:tcW w:type="dxa" w:w="3402"/>
          </w:tcPr>
          <w:p>
            <w:r>
              <w:rPr>
                <w:sz w:val="20"/>
              </w:rPr>
              <w:t>however enduring a huge challenge that lacks high-...</w:t>
            </w:r>
          </w:p>
        </w:tc>
        <w:tc>
          <w:tcPr>
            <w:tcW w:type="dxa" w:w="850"/>
          </w:tcPr>
          <w:p>
            <w:r>
              <w:rPr>
                <w:sz w:val="20"/>
              </w:rPr>
              <w:t>1.0</w:t>
            </w:r>
          </w:p>
        </w:tc>
      </w:tr>
      <w:tr>
        <w:tc>
          <w:tcPr>
            <w:tcW w:type="dxa" w:w="1701"/>
          </w:tcPr>
          <w:p>
            <w:r>
              <w:rPr>
                <w:sz w:val="20"/>
              </w:rPr>
              <w:t>MXene (Ti&lt;sub&gt;3&lt;/sub&gt;C&lt;sub&gt;2&lt;/sub&gt;)</w:t>
            </w:r>
          </w:p>
        </w:tc>
        <w:tc>
          <w:tcPr>
            <w:tcW w:type="dxa" w:w="1984"/>
          </w:tcPr>
          <w:p>
            <w:r>
              <w:rPr>
                <w:sz w:val="20"/>
              </w:rPr>
              <w:t>MXene (Ti3C2)</w:t>
            </w:r>
          </w:p>
        </w:tc>
        <w:tc>
          <w:tcPr>
            <w:tcW w:type="dxa" w:w="3402"/>
          </w:tcPr>
          <w:p>
            <w:r>
              <w:rPr>
                <w:sz w:val="20"/>
              </w:rPr>
              <w:t>Herein, we report a robust OER electrocatalyst for...</w:t>
            </w:r>
          </w:p>
        </w:tc>
        <w:tc>
          <w:tcPr>
            <w:tcW w:type="dxa" w:w="850"/>
          </w:tcPr>
          <w:p>
            <w:r>
              <w:rPr>
                <w:sz w:val="20"/>
              </w:rPr>
              <w:t>1.0</w:t>
            </w:r>
          </w:p>
        </w:tc>
      </w:tr>
      <w:tr>
        <w:tc>
          <w:tcPr>
            <w:tcW w:type="dxa" w:w="1701"/>
          </w:tcPr>
          <w:p>
            <w:r>
              <w:rPr>
                <w:sz w:val="20"/>
              </w:rPr>
              <w:t>NiFe sulfides ((Ni,Fe)S&lt;sub&gt;2&lt;/sub&gt;@Ti&lt;sub&gt;3&lt;/sub&gt;C&lt;sub&gt;2&lt;/sub&gt;)</w:t>
            </w:r>
          </w:p>
        </w:tc>
        <w:tc>
          <w:tcPr>
            <w:tcW w:type="dxa" w:w="1984"/>
          </w:tcPr>
          <w:p>
            <w:r>
              <w:rPr>
                <w:sz w:val="20"/>
              </w:rPr>
              <w:t>NiFe硫化物 ((Ni,Fe)S2@Ti3C2)</w:t>
            </w:r>
          </w:p>
        </w:tc>
        <w:tc>
          <w:tcPr>
            <w:tcW w:type="dxa" w:w="3402"/>
          </w:tcPr>
          <w:p>
            <w:r>
              <w:rPr>
                <w:sz w:val="20"/>
              </w:rPr>
              <w:t>Herein, we report a robust OER electrocatalyst for...</w:t>
            </w:r>
          </w:p>
        </w:tc>
        <w:tc>
          <w:tcPr>
            <w:tcW w:type="dxa" w:w="850"/>
          </w:tcPr>
          <w:p>
            <w:r>
              <w:rPr>
                <w:sz w:val="20"/>
              </w:rPr>
              <w:t>1.0</w:t>
            </w:r>
          </w:p>
        </w:tc>
      </w:tr>
      <w:tr>
        <w:tc>
          <w:tcPr>
            <w:tcW w:type="dxa" w:w="1701"/>
          </w:tcPr>
          <w:p>
            <w:r>
              <w:rPr>
                <w:sz w:val="20"/>
              </w:rPr>
              <w:t>lattice oxygen mechanism</w:t>
            </w:r>
          </w:p>
        </w:tc>
        <w:tc>
          <w:tcPr>
            <w:tcW w:type="dxa" w:w="1984"/>
          </w:tcPr>
          <w:p>
            <w:r>
              <w:rPr>
                <w:sz w:val="20"/>
              </w:rPr>
              <w:t>晶格氧机制</w:t>
            </w:r>
          </w:p>
        </w:tc>
        <w:tc>
          <w:tcPr>
            <w:tcW w:type="dxa" w:w="3402"/>
          </w:tcPr>
          <w:p>
            <w:r>
              <w:rPr>
                <w:sz w:val="20"/>
              </w:rPr>
              <w:t>The strong interaction between (Ni,Fe)S&lt;sub&gt;2&lt;/sub...</w:t>
            </w:r>
          </w:p>
        </w:tc>
        <w:tc>
          <w:tcPr>
            <w:tcW w:type="dxa" w:w="850"/>
          </w:tcPr>
          <w:p>
            <w:r>
              <w:rPr>
                <w:sz w:val="20"/>
              </w:rPr>
              <w:t>1.0</w:t>
            </w:r>
          </w:p>
        </w:tc>
      </w:tr>
      <w:tr>
        <w:tc>
          <w:tcPr>
            <w:tcW w:type="dxa" w:w="1701"/>
          </w:tcPr>
          <w:p>
            <w:r>
              <w:rPr>
                <w:sz w:val="20"/>
              </w:rPr>
              <w:t>Ti-O-Fe bonding</w:t>
            </w:r>
          </w:p>
        </w:tc>
        <w:tc>
          <w:tcPr>
            <w:tcW w:type="dxa" w:w="1984"/>
          </w:tcPr>
          <w:p>
            <w:r>
              <w:rPr>
                <w:sz w:val="20"/>
              </w:rPr>
              <w:t>Ti-O-Fe键</w:t>
            </w:r>
          </w:p>
        </w:tc>
        <w:tc>
          <w:tcPr>
            <w:tcW w:type="dxa" w:w="3402"/>
          </w:tcPr>
          <w:p>
            <w:r>
              <w:rPr>
                <w:sz w:val="20"/>
              </w:rPr>
              <w:t>particularly prohibits the dissolution of Fe speci...</w:t>
            </w:r>
          </w:p>
        </w:tc>
        <w:tc>
          <w:tcPr>
            <w:tcW w:type="dxa" w:w="850"/>
          </w:tcPr>
          <w:p>
            <w:r>
              <w:rPr>
                <w:sz w:val="20"/>
              </w:rPr>
              <w:t>1.0</w:t>
            </w:r>
          </w:p>
        </w:tc>
      </w:tr>
    </w:tbl>
    <w:p/>
    <w:p/>
    <w:p>
      <w:pPr>
        <w:pStyle w:val="Heading3"/>
      </w:pPr>
      <w:r>
        <w:t>样例 2: Leaf-based energy harvesting and storage utilizing hygroscopic iron hydrogel for...</w:t>
      </w:r>
    </w:p>
    <w:p>
      <w:r>
        <w:rPr>
          <w:b/>
        </w:rPr>
        <w:t xml:space="preserve">主学科: </w:t>
      </w:r>
      <w:r>
        <w:t>材料科学</w:t>
      </w:r>
    </w:p>
    <w:p>
      <w:r>
        <w:rPr>
          <w:b/>
        </w:rPr>
        <w:t xml:space="preserve">主学科概念: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术语</w:t>
            </w:r>
          </w:p>
        </w:tc>
        <w:tc>
          <w:tcPr>
            <w:tcW w:type="dxa" w:w="1984"/>
          </w:tcPr>
          <w:p>
            <w:pPr>
              <w:jc w:val="center"/>
            </w:pPr>
            <w:r>
              <w:rPr>
                <w:b/>
                <w:sz w:val="20"/>
              </w:rPr>
              <w:t>标准化</w:t>
            </w:r>
          </w:p>
        </w:tc>
        <w:tc>
          <w:tcPr>
            <w:tcW w:type="dxa" w:w="3402"/>
          </w:tcPr>
          <w:p>
            <w:pPr>
              <w:jc w:val="center"/>
            </w:pPr>
            <w:r>
              <w:rPr>
                <w:b/>
                <w:sz w:val="20"/>
              </w:rPr>
              <w:t>证据</w:t>
            </w:r>
          </w:p>
        </w:tc>
        <w:tc>
          <w:tcPr>
            <w:tcW w:type="dxa" w:w="850"/>
          </w:tcPr>
          <w:p>
            <w:pPr>
              <w:jc w:val="center"/>
            </w:pPr>
            <w:r>
              <w:rPr>
                <w:b/>
                <w:sz w:val="20"/>
              </w:rPr>
              <w:t>置信度</w:t>
            </w:r>
          </w:p>
        </w:tc>
      </w:tr>
      <w:tr>
        <w:tc>
          <w:tcPr>
            <w:tcW w:type="dxa" w:w="1701"/>
          </w:tcPr>
          <w:p>
            <w:r>
              <w:rPr>
                <w:sz w:val="20"/>
              </w:rPr>
              <w:t>hygroscopic iron hydrogels</w:t>
            </w:r>
          </w:p>
        </w:tc>
        <w:tc>
          <w:tcPr>
            <w:tcW w:type="dxa" w:w="1984"/>
          </w:tcPr>
          <w:p>
            <w:r>
              <w:rPr>
                <w:sz w:val="20"/>
              </w:rPr>
              <w:t>吸湿性铁水凝胶</w:t>
            </w:r>
          </w:p>
        </w:tc>
        <w:tc>
          <w:tcPr>
            <w:tcW w:type="dxa" w:w="3402"/>
          </w:tcPr>
          <w:p>
            <w:r>
              <w:rPr>
                <w:sz w:val="20"/>
              </w:rPr>
              <w:t>asymmetric coating of hygroscopic iron hydrogels</w:t>
            </w:r>
          </w:p>
        </w:tc>
        <w:tc>
          <w:tcPr>
            <w:tcW w:type="dxa" w:w="850"/>
          </w:tcPr>
          <w:p>
            <w:r>
              <w:rPr>
                <w:sz w:val="20"/>
              </w:rPr>
              <w:t>1.0</w:t>
            </w:r>
          </w:p>
        </w:tc>
      </w:tr>
      <w:tr>
        <w:tc>
          <w:tcPr>
            <w:tcW w:type="dxa" w:w="1701"/>
          </w:tcPr>
          <w:p>
            <w:r>
              <w:rPr>
                <w:sz w:val="20"/>
              </w:rPr>
              <w:t>water gradient</w:t>
            </w:r>
          </w:p>
        </w:tc>
        <w:tc>
          <w:tcPr>
            <w:tcW w:type="dxa" w:w="1984"/>
          </w:tcPr>
          <w:p>
            <w:r>
              <w:rPr>
                <w:sz w:val="20"/>
              </w:rPr>
              <w:t>水梯度</w:t>
            </w:r>
          </w:p>
        </w:tc>
        <w:tc>
          <w:tcPr>
            <w:tcW w:type="dxa" w:w="3402"/>
          </w:tcPr>
          <w:p>
            <w:r>
              <w:rPr>
                <w:sz w:val="20"/>
              </w:rPr>
              <w:t>a water gradient is established between areas with...</w:t>
            </w:r>
          </w:p>
        </w:tc>
        <w:tc>
          <w:tcPr>
            <w:tcW w:type="dxa" w:w="850"/>
          </w:tcPr>
          <w:p>
            <w:r>
              <w:rPr>
                <w:sz w:val="20"/>
              </w:rPr>
              <w:t>1.0</w:t>
            </w:r>
          </w:p>
        </w:tc>
      </w:tr>
      <w:tr>
        <w:tc>
          <w:tcPr>
            <w:tcW w:type="dxa" w:w="1701"/>
          </w:tcPr>
          <w:p>
            <w:r>
              <w:rPr>
                <w:sz w:val="20"/>
              </w:rPr>
              <w:t>electrical double layers</w:t>
            </w:r>
          </w:p>
        </w:tc>
        <w:tc>
          <w:tcPr>
            <w:tcW w:type="dxa" w:w="1984"/>
          </w:tcPr>
          <w:p>
            <w:r>
              <w:rPr>
                <w:sz w:val="20"/>
              </w:rPr>
              <w:t>电双层</w:t>
            </w:r>
          </w:p>
        </w:tc>
        <w:tc>
          <w:tcPr>
            <w:tcW w:type="dxa" w:w="3402"/>
          </w:tcPr>
          <w:p>
            <w:r>
              <w:rPr>
                <w:sz w:val="20"/>
              </w:rPr>
              <w:t>forming electrical double layers over the leaf sur...</w:t>
            </w:r>
          </w:p>
        </w:tc>
        <w:tc>
          <w:tcPr>
            <w:tcW w:type="dxa" w:w="850"/>
          </w:tcPr>
          <w:p>
            <w:r>
              <w:rPr>
                <w:sz w:val="20"/>
              </w:rPr>
              <w:t>1.0</w:t>
            </w:r>
          </w:p>
        </w:tc>
      </w:tr>
      <w:tr>
        <w:tc>
          <w:tcPr>
            <w:tcW w:type="dxa" w:w="1701"/>
          </w:tcPr>
          <w:p>
            <w:r>
              <w:rPr>
                <w:sz w:val="20"/>
              </w:rPr>
              <w:t>capacitance-like behavior</w:t>
            </w:r>
          </w:p>
        </w:tc>
        <w:tc>
          <w:tcPr>
            <w:tcW w:type="dxa" w:w="1984"/>
          </w:tcPr>
          <w:p>
            <w:r>
              <w:rPr>
                <w:sz w:val="20"/>
              </w:rPr>
              <w:t>类电容行为</w:t>
            </w:r>
          </w:p>
        </w:tc>
        <w:tc>
          <w:tcPr>
            <w:tcW w:type="dxa" w:w="3402"/>
          </w:tcPr>
          <w:p>
            <w:r>
              <w:rPr>
                <w:sz w:val="20"/>
              </w:rPr>
              <w:t>showing capacitance-like behavior for energy charg...</w:t>
            </w:r>
          </w:p>
        </w:tc>
        <w:tc>
          <w:tcPr>
            <w:tcW w:type="dxa" w:w="850"/>
          </w:tcPr>
          <w:p>
            <w:r>
              <w:rPr>
                <w:sz w:val="20"/>
              </w:rPr>
              <w:t>1.0</w:t>
            </w:r>
          </w:p>
        </w:tc>
      </w:tr>
      <w:tr>
        <w:tc>
          <w:tcPr>
            <w:tcW w:type="dxa" w:w="1701"/>
          </w:tcPr>
          <w:p>
            <w:r>
              <w:rPr>
                <w:sz w:val="20"/>
              </w:rPr>
              <w:t>leaf cell structures</w:t>
            </w:r>
          </w:p>
        </w:tc>
        <w:tc>
          <w:tcPr>
            <w:tcW w:type="dxa" w:w="1984"/>
          </w:tcPr>
          <w:p>
            <w:r>
              <w:rPr>
                <w:sz w:val="20"/>
              </w:rPr>
              <w:t>叶片细胞结构</w:t>
            </w:r>
          </w:p>
        </w:tc>
        <w:tc>
          <w:tcPr>
            <w:tcW w:type="dxa" w:w="3402"/>
          </w:tcPr>
          <w:p>
            <w:r>
              <w:rPr>
                <w:sz w:val="20"/>
              </w:rPr>
              <w:t>the specific leaf cell structures with small groov...</w:t>
            </w:r>
          </w:p>
        </w:tc>
        <w:tc>
          <w:tcPr>
            <w:tcW w:type="dxa" w:w="850"/>
          </w:tcPr>
          <w:p>
            <w:r>
              <w:rPr>
                <w:sz w:val="20"/>
              </w:rPr>
              <w:t>1.0</w:t>
            </w:r>
          </w:p>
        </w:tc>
      </w:tr>
      <w:tr>
        <w:tc>
          <w:tcPr>
            <w:tcW w:type="dxa" w:w="1701"/>
          </w:tcPr>
          <w:p>
            <w:r>
              <w:rPr>
                <w:sz w:val="20"/>
              </w:rPr>
              <w:t>carbon coatings</w:t>
            </w:r>
          </w:p>
        </w:tc>
        <w:tc>
          <w:tcPr>
            <w:tcW w:type="dxa" w:w="1984"/>
          </w:tcPr>
          <w:p>
            <w:r>
              <w:rPr>
                <w:sz w:val="20"/>
              </w:rPr>
              <w:t>碳涂层</w:t>
            </w:r>
          </w:p>
        </w:tc>
        <w:tc>
          <w:tcPr>
            <w:tcW w:type="dxa" w:w="3402"/>
          </w:tcPr>
          <w:p>
            <w:r>
              <w:rPr>
                <w:sz w:val="20"/>
              </w:rPr>
              <w:t>enabled uniform carbon coatings instead of aggrega...</w:t>
            </w:r>
          </w:p>
        </w:tc>
        <w:tc>
          <w:tcPr>
            <w:tcW w:type="dxa" w:w="850"/>
          </w:tcPr>
          <w:p>
            <w:r>
              <w:rPr>
                <w:sz w:val="20"/>
              </w:rPr>
              <w:t>1.0</w:t>
            </w:r>
          </w:p>
        </w:tc>
      </w:tr>
    </w:tbl>
    <w:p/>
    <w:p/>
    <w:p>
      <w:pPr>
        <w:pStyle w:val="Heading3"/>
      </w:pPr>
      <w:r>
        <w:t>样例 3: Precisely designing asymmetrical selenium-based dual-atom sites for efficient ox...</w:t>
      </w:r>
    </w:p>
    <w:p>
      <w:r>
        <w:rPr>
          <w:b/>
        </w:rPr>
        <w:t xml:space="preserve">主学科: </w:t>
      </w:r>
      <w:r>
        <w:t>化学</w:t>
      </w:r>
    </w:p>
    <w:p>
      <w:r>
        <w:rPr>
          <w:b/>
        </w:rPr>
        <w:t xml:space="preserve">主学科概念: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术语</w:t>
            </w:r>
          </w:p>
        </w:tc>
        <w:tc>
          <w:tcPr>
            <w:tcW w:type="dxa" w:w="1984"/>
          </w:tcPr>
          <w:p>
            <w:pPr>
              <w:jc w:val="center"/>
            </w:pPr>
            <w:r>
              <w:rPr>
                <w:b/>
                <w:sz w:val="20"/>
              </w:rPr>
              <w:t>标准化</w:t>
            </w:r>
          </w:p>
        </w:tc>
        <w:tc>
          <w:tcPr>
            <w:tcW w:type="dxa" w:w="3402"/>
          </w:tcPr>
          <w:p>
            <w:pPr>
              <w:jc w:val="center"/>
            </w:pPr>
            <w:r>
              <w:rPr>
                <w:b/>
                <w:sz w:val="20"/>
              </w:rPr>
              <w:t>证据</w:t>
            </w:r>
          </w:p>
        </w:tc>
        <w:tc>
          <w:tcPr>
            <w:tcW w:type="dxa" w:w="850"/>
          </w:tcPr>
          <w:p>
            <w:pPr>
              <w:jc w:val="center"/>
            </w:pPr>
            <w:r>
              <w:rPr>
                <w:b/>
                <w:sz w:val="20"/>
              </w:rPr>
              <w:t>置信度</w:t>
            </w:r>
          </w:p>
        </w:tc>
      </w:tr>
      <w:tr>
        <w:tc>
          <w:tcPr>
            <w:tcW w:type="dxa" w:w="1701"/>
          </w:tcPr>
          <w:p>
            <w:r>
              <w:rPr>
                <w:sz w:val="20"/>
              </w:rPr>
              <w:t>dual-atom catalysts (DACs)</w:t>
            </w:r>
          </w:p>
        </w:tc>
        <w:tc>
          <w:tcPr>
            <w:tcW w:type="dxa" w:w="1984"/>
          </w:tcPr>
          <w:p>
            <w:r>
              <w:rPr>
                <w:sz w:val="20"/>
              </w:rPr>
              <w:t>双原子催化剂</w:t>
            </w:r>
          </w:p>
        </w:tc>
        <w:tc>
          <w:tcPr>
            <w:tcW w:type="dxa" w:w="3402"/>
          </w:tcPr>
          <w:p>
            <w:r>
              <w:rPr>
                <w:sz w:val="20"/>
              </w:rPr>
              <w:t>dual-atom catalysts (DACs) with well-defined activ...</w:t>
            </w:r>
          </w:p>
        </w:tc>
        <w:tc>
          <w:tcPr>
            <w:tcW w:type="dxa" w:w="850"/>
          </w:tcPr>
          <w:p>
            <w:r>
              <w:rPr>
                <w:sz w:val="20"/>
              </w:rPr>
              <w:t>1.0</w:t>
            </w:r>
          </w:p>
        </w:tc>
      </w:tr>
      <w:tr>
        <w:tc>
          <w:tcPr>
            <w:tcW w:type="dxa" w:w="1701"/>
          </w:tcPr>
          <w:p>
            <w:r>
              <w:rPr>
                <w:sz w:val="20"/>
              </w:rPr>
              <w:t>heteronuclear SeN&lt;sub&gt;2&lt;/sub&gt;-MN&lt;sub&gt;2&lt;/sub&gt;</w:t>
            </w:r>
          </w:p>
        </w:tc>
        <w:tc>
          <w:tcPr>
            <w:tcW w:type="dxa" w:w="1984"/>
          </w:tcPr>
          <w:p>
            <w:r>
              <w:rPr>
                <w:sz w:val="20"/>
              </w:rPr>
              <w:t>异核SeN&lt;sub&gt;2&lt;/sub&gt;-MN&lt;sub&gt;2&lt;/sub&gt;</w:t>
            </w:r>
          </w:p>
        </w:tc>
        <w:tc>
          <w:tcPr>
            <w:tcW w:type="dxa" w:w="3402"/>
          </w:tcPr>
          <w:p>
            <w:r>
              <w:rPr>
                <w:sz w:val="20"/>
              </w:rPr>
              <w:t>asymmetric selenium-based dual-atom catalysts that...</w:t>
            </w:r>
          </w:p>
        </w:tc>
        <w:tc>
          <w:tcPr>
            <w:tcW w:type="dxa" w:w="850"/>
          </w:tcPr>
          <w:p>
            <w:r>
              <w:rPr>
                <w:sz w:val="20"/>
              </w:rPr>
              <w:t>1.0</w:t>
            </w:r>
          </w:p>
        </w:tc>
      </w:tr>
      <w:tr>
        <w:tc>
          <w:tcPr>
            <w:tcW w:type="dxa" w:w="1701"/>
          </w:tcPr>
          <w:p>
            <w:r>
              <w:rPr>
                <w:sz w:val="20"/>
              </w:rPr>
              <w:t>oxygen reduction reaction (ORR)</w:t>
            </w:r>
          </w:p>
        </w:tc>
        <w:tc>
          <w:tcPr>
            <w:tcW w:type="dxa" w:w="1984"/>
          </w:tcPr>
          <w:p>
            <w:r>
              <w:rPr>
                <w:sz w:val="20"/>
              </w:rPr>
              <w:t>氧还原反应</w:t>
            </w:r>
          </w:p>
        </w:tc>
        <w:tc>
          <w:tcPr>
            <w:tcW w:type="dxa" w:w="3402"/>
          </w:tcPr>
          <w:p>
            <w:r>
              <w:rPr>
                <w:sz w:val="20"/>
              </w:rPr>
              <w:t>heteronuclear SeN&lt;sub&gt;2&lt;/sub&gt;-MN&lt;sub&gt;2&lt;/sub&gt; (M = ...</w:t>
            </w:r>
          </w:p>
        </w:tc>
        <w:tc>
          <w:tcPr>
            <w:tcW w:type="dxa" w:w="850"/>
          </w:tcPr>
          <w:p>
            <w:r>
              <w:rPr>
                <w:sz w:val="20"/>
              </w:rPr>
              <w:t>1.0</w:t>
            </w:r>
          </w:p>
        </w:tc>
      </w:tr>
      <w:tr>
        <w:tc>
          <w:tcPr>
            <w:tcW w:type="dxa" w:w="1701"/>
          </w:tcPr>
          <w:p>
            <w:r>
              <w:rPr>
                <w:sz w:val="20"/>
              </w:rPr>
              <w:t>SeFe dual-atom sites</w:t>
            </w:r>
          </w:p>
        </w:tc>
        <w:tc>
          <w:tcPr>
            <w:tcW w:type="dxa" w:w="1984"/>
          </w:tcPr>
          <w:p>
            <w:r>
              <w:rPr>
                <w:sz w:val="20"/>
              </w:rPr>
              <w:t>SeFe双原子位点</w:t>
            </w:r>
          </w:p>
        </w:tc>
        <w:tc>
          <w:tcPr>
            <w:tcW w:type="dxa" w:w="3402"/>
          </w:tcPr>
          <w:p>
            <w:r>
              <w:rPr>
                <w:sz w:val="20"/>
              </w:rPr>
              <w:t>the SeFe dual-atom sites facilitate a reduction in...</w:t>
            </w:r>
          </w:p>
        </w:tc>
        <w:tc>
          <w:tcPr>
            <w:tcW w:type="dxa" w:w="850"/>
          </w:tcPr>
          <w:p>
            <w:r>
              <w:rPr>
                <w:sz w:val="20"/>
              </w:rPr>
              <w:t>1.0</w:t>
            </w:r>
          </w:p>
        </w:tc>
      </w:tr>
      <w:tr>
        <w:tc>
          <w:tcPr>
            <w:tcW w:type="dxa" w:w="1701"/>
          </w:tcPr>
          <w:p>
            <w:r>
              <w:rPr>
                <w:sz w:val="20"/>
              </w:rPr>
              <w:t>half-wave potential</w:t>
            </w:r>
          </w:p>
        </w:tc>
        <w:tc>
          <w:tcPr>
            <w:tcW w:type="dxa" w:w="1984"/>
          </w:tcPr>
          <w:p>
            <w:r>
              <w:rPr>
                <w:sz w:val="20"/>
              </w:rPr>
              <w:t>半波电位</w:t>
            </w:r>
          </w:p>
        </w:tc>
        <w:tc>
          <w:tcPr>
            <w:tcW w:type="dxa" w:w="3402"/>
          </w:tcPr>
          <w:p>
            <w:r>
              <w:rPr>
                <w:sz w:val="20"/>
              </w:rPr>
              <w:t>selenium-iron dual-atom catalysts achieves superio...</w:t>
            </w:r>
          </w:p>
        </w:tc>
        <w:tc>
          <w:tcPr>
            <w:tcW w:type="dxa" w:w="850"/>
          </w:tcPr>
          <w:p>
            <w:r>
              <w:rPr>
                <w:sz w:val="20"/>
              </w:rPr>
              <w:t>1.0</w:t>
            </w:r>
          </w:p>
        </w:tc>
      </w:tr>
      <w:tr>
        <w:tc>
          <w:tcPr>
            <w:tcW w:type="dxa" w:w="1701"/>
          </w:tcPr>
          <w:p>
            <w:r>
              <w:rPr>
                <w:sz w:val="20"/>
              </w:rPr>
              <w:t>Zn-air battery</w:t>
            </w:r>
          </w:p>
        </w:tc>
        <w:tc>
          <w:tcPr>
            <w:tcW w:type="dxa" w:w="1984"/>
          </w:tcPr>
          <w:p>
            <w:r>
              <w:rPr>
                <w:sz w:val="20"/>
              </w:rPr>
              <w:t>锌空气电池</w:t>
            </w:r>
          </w:p>
        </w:tc>
        <w:tc>
          <w:tcPr>
            <w:tcW w:type="dxa" w:w="3402"/>
          </w:tcPr>
          <w:p>
            <w:r>
              <w:rPr>
                <w:sz w:val="20"/>
              </w:rPr>
              <w:t>the SeN&lt;sub&gt;2&lt;/sub&gt;-FeN&lt;sub&gt;2&lt;/sub&gt;-based Zn-air b...</w:t>
            </w:r>
          </w:p>
        </w:tc>
        <w:tc>
          <w:tcPr>
            <w:tcW w:type="dxa" w:w="850"/>
          </w:tcPr>
          <w:p>
            <w:r>
              <w:rPr>
                <w:sz w:val="20"/>
              </w:rPr>
              <w:t>1.0</w:t>
            </w:r>
          </w:p>
        </w:tc>
      </w:tr>
    </w:tbl>
    <w:p/>
    <w:p/>
    <w:p>
      <w:r>
        <w:br w:type="page"/>
      </w:r>
    </w:p>
    <w:p>
      <w:pPr>
        <w:pStyle w:val="Heading1"/>
      </w:pPr>
      <w:r>
        <w:t>四、Stage 2b：跨学科关系抽取</w:t>
      </w:r>
    </w:p>
    <w:p>
      <w:r>
        <w:t>基于抽取的概念，识别跨学科概念间的语义关系。系统支持 11 种标准关系类型（如 method_applied_to, improves_metric 等）。</w:t>
      </w:r>
    </w:p>
    <w:p>
      <w:pPr>
        <w:pStyle w:val="Heading2"/>
      </w:pPr>
      <w:r>
        <w:t>4.1 关系抽取样例（3篇）</w:t>
      </w:r>
    </w:p>
    <w:p>
      <w:pPr>
        <w:pStyle w:val="Heading3"/>
      </w:pPr>
      <w:r>
        <w:t>样例 1: MXene-Assisted NiFe sulfides for high-performance anion exchange membrane seawat...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头实体</w:t>
            </w:r>
          </w:p>
        </w:tc>
        <w:tc>
          <w:tcPr>
            <w:tcW w:type="dxa" w:w="2268"/>
          </w:tcPr>
          <w:p>
            <w:pPr>
              <w:jc w:val="center"/>
            </w:pPr>
            <w:r>
              <w:rPr>
                <w:b/>
                <w:sz w:val="20"/>
              </w:rPr>
              <w:t>关系</w:t>
            </w:r>
          </w:p>
        </w:tc>
        <w:tc>
          <w:tcPr>
            <w:tcW w:type="dxa" w:w="1984"/>
          </w:tcPr>
          <w:p>
            <w:pPr>
              <w:jc w:val="center"/>
            </w:pPr>
            <w:r>
              <w:rPr>
                <w:b/>
                <w:sz w:val="20"/>
              </w:rPr>
              <w:t>尾实体</w:t>
            </w:r>
          </w:p>
        </w:tc>
        <w:tc>
          <w:tcPr>
            <w:tcW w:type="dxa" w:w="850"/>
          </w:tcPr>
          <w:p>
            <w:pPr>
              <w:jc w:val="center"/>
            </w:pPr>
            <w:r>
              <w:rPr>
                <w:b/>
                <w:sz w:val="20"/>
              </w:rPr>
              <w:t>置信度</w:t>
            </w:r>
          </w:p>
        </w:tc>
      </w:tr>
      <w:tr>
        <w:tc>
          <w:tcPr>
            <w:tcW w:type="dxa" w:w="1984"/>
          </w:tcPr>
          <w:p>
            <w:r>
              <w:rPr>
                <w:sz w:val="20"/>
              </w:rPr>
              <w:t>MXene (Ti&lt;sub&gt;3&lt;/sub&gt;C&lt;sub&gt;2&lt;/sub&gt;)</w:t>
            </w:r>
          </w:p>
        </w:tc>
        <w:tc>
          <w:tcPr>
            <w:tcW w:type="dxa" w:w="2268"/>
          </w:tcPr>
          <w:p>
            <w:r>
              <w:rPr>
                <w:sz w:val="20"/>
              </w:rPr>
              <w:t>integrates with</w:t>
            </w:r>
          </w:p>
        </w:tc>
        <w:tc>
          <w:tcPr>
            <w:tcW w:type="dxa" w:w="1984"/>
          </w:tcPr>
          <w:p>
            <w:r>
              <w:rPr>
                <w:sz w:val="20"/>
              </w:rPr>
              <w:t>NiFe sulfides ((Ni,Fe)S&lt;sub&gt;2&lt;/sub&gt;@Ti&lt;sub&gt;3&lt;/sub&gt;C&lt;sub&gt;2&lt;/sub&gt;)</w:t>
            </w:r>
          </w:p>
        </w:tc>
        <w:tc>
          <w:tcPr>
            <w:tcW w:type="dxa" w:w="850"/>
          </w:tcPr>
          <w:p>
            <w:r>
              <w:rPr>
                <w:sz w:val="20"/>
              </w:rPr>
              <w:t>1.0</w:t>
            </w:r>
          </w:p>
        </w:tc>
      </w:tr>
      <w:tr>
        <w:tc>
          <w:tcPr>
            <w:tcW w:type="dxa" w:w="1984"/>
          </w:tcPr>
          <w:p>
            <w:r>
              <w:rPr>
                <w:sz w:val="20"/>
              </w:rPr>
              <w:t>(Ni,Fe)S&lt;sub&gt;2&lt;/sub&gt; and Ti&lt;sub&gt;3&lt;/sub&gt;C&lt;sub&gt;2&lt;/sub&gt;</w:t>
            </w:r>
          </w:p>
        </w:tc>
        <w:tc>
          <w:tcPr>
            <w:tcW w:type="dxa" w:w="2268"/>
          </w:tcPr>
          <w:p>
            <w:r>
              <w:rPr>
                <w:sz w:val="20"/>
              </w:rPr>
              <w:t>induces electron distribution to trigger</w:t>
            </w:r>
          </w:p>
        </w:tc>
        <w:tc>
          <w:tcPr>
            <w:tcW w:type="dxa" w:w="1984"/>
          </w:tcPr>
          <w:p>
            <w:r>
              <w:rPr>
                <w:sz w:val="20"/>
              </w:rPr>
              <w:t>lattice oxygen mechanism</w:t>
            </w:r>
          </w:p>
        </w:tc>
        <w:tc>
          <w:tcPr>
            <w:tcW w:type="dxa" w:w="850"/>
          </w:tcPr>
          <w:p>
            <w:r>
              <w:rPr>
                <w:sz w:val="20"/>
              </w:rPr>
              <w:t>1.0</w:t>
            </w:r>
          </w:p>
        </w:tc>
      </w:tr>
      <w:tr>
        <w:tc>
          <w:tcPr>
            <w:tcW w:type="dxa" w:w="1984"/>
          </w:tcPr>
          <w:p>
            <w:r>
              <w:rPr>
                <w:sz w:val="20"/>
              </w:rPr>
              <w:t>Ti-O-Fe bonding</w:t>
            </w:r>
          </w:p>
        </w:tc>
        <w:tc>
          <w:tcPr>
            <w:tcW w:type="dxa" w:w="2268"/>
          </w:tcPr>
          <w:p>
            <w:r>
              <w:rPr>
                <w:sz w:val="20"/>
              </w:rPr>
              <w:t>prohibits</w:t>
            </w:r>
          </w:p>
        </w:tc>
        <w:tc>
          <w:tcPr>
            <w:tcW w:type="dxa" w:w="1984"/>
          </w:tcPr>
          <w:p>
            <w:r>
              <w:rPr>
                <w:sz w:val="20"/>
              </w:rPr>
              <w:t>dissolution of Fe species during OER process</w:t>
            </w:r>
          </w:p>
        </w:tc>
        <w:tc>
          <w:tcPr>
            <w:tcW w:type="dxa" w:w="850"/>
          </w:tcPr>
          <w:p>
            <w:r>
              <w:rPr>
                <w:sz w:val="20"/>
              </w:rPr>
              <w:t>1.0</w:t>
            </w:r>
          </w:p>
        </w:tc>
      </w:tr>
      <w:tr>
        <w:tc>
          <w:tcPr>
            <w:tcW w:type="dxa" w:w="1984"/>
          </w:tcPr>
          <w:p>
            <w:r>
              <w:rPr>
                <w:sz w:val="20"/>
              </w:rPr>
              <w:t>good retention of sulfates and the abundant groups of Ti&lt;sub&gt;3&lt;/sub&gt;C&lt;sub&gt;2&lt;/sub&gt;</w:t>
            </w:r>
          </w:p>
        </w:tc>
        <w:tc>
          <w:tcPr>
            <w:tcW w:type="dxa" w:w="2268"/>
          </w:tcPr>
          <w:p>
            <w:r>
              <w:rPr>
                <w:sz w:val="20"/>
              </w:rPr>
              <w:t>provides</w:t>
            </w:r>
          </w:p>
        </w:tc>
        <w:tc>
          <w:tcPr>
            <w:tcW w:type="dxa" w:w="1984"/>
          </w:tcPr>
          <w:p>
            <w:r>
              <w:rPr>
                <w:sz w:val="20"/>
              </w:rPr>
              <w:t>Cl&lt;sup&gt;-&lt;/sup&gt; resistance</w:t>
            </w:r>
          </w:p>
        </w:tc>
        <w:tc>
          <w:tcPr>
            <w:tcW w:type="dxa" w:w="850"/>
          </w:tcPr>
          <w:p>
            <w:r>
              <w:rPr>
                <w:sz w:val="20"/>
              </w:rPr>
              <w:t>1.0</w:t>
            </w:r>
          </w:p>
        </w:tc>
      </w:tr>
      <w:tr>
        <w:tc>
          <w:tcPr>
            <w:tcW w:type="dxa" w:w="1984"/>
          </w:tcPr>
          <w:p>
            <w:r>
              <w:rPr>
                <w:sz w:val="20"/>
              </w:rPr>
              <w:t>(Ni,Fe)S&lt;sub&gt;2&lt;/sub&gt;@Ti&lt;sub&gt;3&lt;/sub&gt;C&lt;sub&gt;2&lt;/sub&gt;</w:t>
            </w:r>
          </w:p>
        </w:tc>
        <w:tc>
          <w:tcPr>
            <w:tcW w:type="dxa" w:w="2268"/>
          </w:tcPr>
          <w:p>
            <w:r>
              <w:rPr>
                <w:sz w:val="20"/>
              </w:rPr>
              <w:t>achieves</w:t>
            </w:r>
          </w:p>
        </w:tc>
        <w:tc>
          <w:tcPr>
            <w:tcW w:type="dxa" w:w="1984"/>
          </w:tcPr>
          <w:p>
            <w:r>
              <w:rPr>
                <w:sz w:val="20"/>
              </w:rPr>
              <w:t>OER activity (1.598 V@2 A cm&lt;sup&gt;-2&lt;/sup&gt;)</w:t>
            </w:r>
          </w:p>
        </w:tc>
        <w:tc>
          <w:tcPr>
            <w:tcW w:type="dxa" w:w="850"/>
          </w:tcPr>
          <w:p>
            <w:r>
              <w:rPr>
                <w:sz w:val="20"/>
              </w:rPr>
              <w:t>1.0</w:t>
            </w:r>
          </w:p>
        </w:tc>
      </w:tr>
    </w:tbl>
    <w:p/>
    <w:p/>
    <w:p>
      <w:pPr>
        <w:pStyle w:val="Heading3"/>
      </w:pPr>
      <w:r>
        <w:t>样例 2: Leaf-based energy harvesting and storage utilizing hygroscopic iron hydrogel for...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头实体</w:t>
            </w:r>
          </w:p>
        </w:tc>
        <w:tc>
          <w:tcPr>
            <w:tcW w:type="dxa" w:w="2268"/>
          </w:tcPr>
          <w:p>
            <w:pPr>
              <w:jc w:val="center"/>
            </w:pPr>
            <w:r>
              <w:rPr>
                <w:b/>
                <w:sz w:val="20"/>
              </w:rPr>
              <w:t>关系</w:t>
            </w:r>
          </w:p>
        </w:tc>
        <w:tc>
          <w:tcPr>
            <w:tcW w:type="dxa" w:w="1984"/>
          </w:tcPr>
          <w:p>
            <w:pPr>
              <w:jc w:val="center"/>
            </w:pPr>
            <w:r>
              <w:rPr>
                <w:b/>
                <w:sz w:val="20"/>
              </w:rPr>
              <w:t>尾实体</w:t>
            </w:r>
          </w:p>
        </w:tc>
        <w:tc>
          <w:tcPr>
            <w:tcW w:type="dxa" w:w="850"/>
          </w:tcPr>
          <w:p>
            <w:pPr>
              <w:jc w:val="center"/>
            </w:pPr>
            <w:r>
              <w:rPr>
                <w:b/>
                <w:sz w:val="20"/>
              </w:rPr>
              <w:t>置信度</w:t>
            </w:r>
          </w:p>
        </w:tc>
      </w:tr>
      <w:tr>
        <w:tc>
          <w:tcPr>
            <w:tcW w:type="dxa" w:w="1984"/>
          </w:tcPr>
          <w:p>
            <w:r>
              <w:rPr>
                <w:sz w:val="20"/>
              </w:rPr>
              <w:t>hygroscopic iron hydrogels</w:t>
            </w:r>
          </w:p>
        </w:tc>
        <w:tc>
          <w:tcPr>
            <w:tcW w:type="dxa" w:w="2268"/>
          </w:tcPr>
          <w:p>
            <w:r>
              <w:rPr>
                <w:sz w:val="20"/>
              </w:rPr>
              <w:t>establishes</w:t>
            </w:r>
          </w:p>
        </w:tc>
        <w:tc>
          <w:tcPr>
            <w:tcW w:type="dxa" w:w="1984"/>
          </w:tcPr>
          <w:p>
            <w:r>
              <w:rPr>
                <w:sz w:val="20"/>
              </w:rPr>
              <w:t>water gradient</w:t>
            </w:r>
          </w:p>
        </w:tc>
        <w:tc>
          <w:tcPr>
            <w:tcW w:type="dxa" w:w="850"/>
          </w:tcPr>
          <w:p>
            <w:r>
              <w:rPr>
                <w:sz w:val="20"/>
              </w:rPr>
              <w:t>1.0</w:t>
            </w:r>
          </w:p>
        </w:tc>
      </w:tr>
      <w:tr>
        <w:tc>
          <w:tcPr>
            <w:tcW w:type="dxa" w:w="1984"/>
          </w:tcPr>
          <w:p>
            <w:r>
              <w:rPr>
                <w:sz w:val="20"/>
              </w:rPr>
              <w:t>water gradient</w:t>
            </w:r>
          </w:p>
        </w:tc>
        <w:tc>
          <w:tcPr>
            <w:tcW w:type="dxa" w:w="2268"/>
          </w:tcPr>
          <w:p>
            <w:r>
              <w:rPr>
                <w:sz w:val="20"/>
              </w:rPr>
              <w:t>forms</w:t>
            </w:r>
          </w:p>
        </w:tc>
        <w:tc>
          <w:tcPr>
            <w:tcW w:type="dxa" w:w="1984"/>
          </w:tcPr>
          <w:p>
            <w:r>
              <w:rPr>
                <w:sz w:val="20"/>
              </w:rPr>
              <w:t>electrical double layers</w:t>
            </w:r>
          </w:p>
        </w:tc>
        <w:tc>
          <w:tcPr>
            <w:tcW w:type="dxa" w:w="850"/>
          </w:tcPr>
          <w:p>
            <w:r>
              <w:rPr>
                <w:sz w:val="20"/>
              </w:rPr>
              <w:t>1.0</w:t>
            </w:r>
          </w:p>
        </w:tc>
      </w:tr>
      <w:tr>
        <w:tc>
          <w:tcPr>
            <w:tcW w:type="dxa" w:w="1984"/>
          </w:tcPr>
          <w:p>
            <w:r>
              <w:rPr>
                <w:sz w:val="20"/>
              </w:rPr>
              <w:t>electrical double layers</w:t>
            </w:r>
          </w:p>
        </w:tc>
        <w:tc>
          <w:tcPr>
            <w:tcW w:type="dxa" w:w="2268"/>
          </w:tcPr>
          <w:p>
            <w:r>
              <w:rPr>
                <w:sz w:val="20"/>
              </w:rPr>
              <w:t>shows</w:t>
            </w:r>
          </w:p>
        </w:tc>
        <w:tc>
          <w:tcPr>
            <w:tcW w:type="dxa" w:w="1984"/>
          </w:tcPr>
          <w:p>
            <w:r>
              <w:rPr>
                <w:sz w:val="20"/>
              </w:rPr>
              <w:t>capacitance-like behavior</w:t>
            </w:r>
          </w:p>
        </w:tc>
        <w:tc>
          <w:tcPr>
            <w:tcW w:type="dxa" w:w="850"/>
          </w:tcPr>
          <w:p>
            <w:r>
              <w:rPr>
                <w:sz w:val="20"/>
              </w:rPr>
              <w:t>1.0</w:t>
            </w:r>
          </w:p>
        </w:tc>
      </w:tr>
      <w:tr>
        <w:tc>
          <w:tcPr>
            <w:tcW w:type="dxa" w:w="1984"/>
          </w:tcPr>
          <w:p>
            <w:r>
              <w:rPr>
                <w:sz w:val="20"/>
              </w:rPr>
              <w:t>leaf cell structures</w:t>
            </w:r>
          </w:p>
        </w:tc>
        <w:tc>
          <w:tcPr>
            <w:tcW w:type="dxa" w:w="2268"/>
          </w:tcPr>
          <w:p>
            <w:r>
              <w:rPr>
                <w:sz w:val="20"/>
              </w:rPr>
              <w:t>enables</w:t>
            </w:r>
          </w:p>
        </w:tc>
        <w:tc>
          <w:tcPr>
            <w:tcW w:type="dxa" w:w="1984"/>
          </w:tcPr>
          <w:p>
            <w:r>
              <w:rPr>
                <w:sz w:val="20"/>
              </w:rPr>
              <w:t>carbon coatings</w:t>
            </w:r>
          </w:p>
        </w:tc>
        <w:tc>
          <w:tcPr>
            <w:tcW w:type="dxa" w:w="850"/>
          </w:tcPr>
          <w:p>
            <w:r>
              <w:rPr>
                <w:sz w:val="20"/>
              </w:rPr>
              <w:t>1.0</w:t>
            </w:r>
          </w:p>
        </w:tc>
      </w:tr>
      <w:tr>
        <w:tc>
          <w:tcPr>
            <w:tcW w:type="dxa" w:w="1984"/>
          </w:tcPr>
          <w:p>
            <w:r>
              <w:rPr>
                <w:sz w:val="20"/>
              </w:rPr>
              <w:t>carbon coatings</w:t>
            </w:r>
          </w:p>
        </w:tc>
        <w:tc>
          <w:tcPr>
            <w:tcW w:type="dxa" w:w="2268"/>
          </w:tcPr>
          <w:p>
            <w:r>
              <w:rPr>
                <w:sz w:val="20"/>
              </w:rPr>
              <w:t>results in</w:t>
            </w:r>
          </w:p>
        </w:tc>
        <w:tc>
          <w:tcPr>
            <w:tcW w:type="dxa" w:w="1984"/>
          </w:tcPr>
          <w:p>
            <w:r>
              <w:rPr>
                <w:sz w:val="20"/>
              </w:rPr>
              <w:t>electrical conductivity</w:t>
            </w:r>
          </w:p>
        </w:tc>
        <w:tc>
          <w:tcPr>
            <w:tcW w:type="dxa" w:w="850"/>
          </w:tcPr>
          <w:p>
            <w:r>
              <w:rPr>
                <w:sz w:val="20"/>
              </w:rPr>
              <w:t>1.0</w:t>
            </w:r>
          </w:p>
        </w:tc>
      </w:tr>
    </w:tbl>
    <w:p/>
    <w:p/>
    <w:p>
      <w:pPr>
        <w:pStyle w:val="Heading3"/>
      </w:pPr>
      <w:r>
        <w:t>样例 3: Precisely designing asymmetrical selenium-based dual-atom sites for efficient ox...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头实体</w:t>
            </w:r>
          </w:p>
        </w:tc>
        <w:tc>
          <w:tcPr>
            <w:tcW w:type="dxa" w:w="2268"/>
          </w:tcPr>
          <w:p>
            <w:pPr>
              <w:jc w:val="center"/>
            </w:pPr>
            <w:r>
              <w:rPr>
                <w:b/>
                <w:sz w:val="20"/>
              </w:rPr>
              <w:t>关系</w:t>
            </w:r>
          </w:p>
        </w:tc>
        <w:tc>
          <w:tcPr>
            <w:tcW w:type="dxa" w:w="1984"/>
          </w:tcPr>
          <w:p>
            <w:pPr>
              <w:jc w:val="center"/>
            </w:pPr>
            <w:r>
              <w:rPr>
                <w:b/>
                <w:sz w:val="20"/>
              </w:rPr>
              <w:t>尾实体</w:t>
            </w:r>
          </w:p>
        </w:tc>
        <w:tc>
          <w:tcPr>
            <w:tcW w:type="dxa" w:w="850"/>
          </w:tcPr>
          <w:p>
            <w:pPr>
              <w:jc w:val="center"/>
            </w:pPr>
            <w:r>
              <w:rPr>
                <w:b/>
                <w:sz w:val="20"/>
              </w:rPr>
              <w:t>置信度</w:t>
            </w:r>
          </w:p>
        </w:tc>
      </w:tr>
      <w:tr>
        <w:tc>
          <w:tcPr>
            <w:tcW w:type="dxa" w:w="1984"/>
          </w:tcPr>
          <w:p>
            <w:r>
              <w:rPr>
                <w:sz w:val="20"/>
              </w:rPr>
              <w:t>dual-atom catalysts (DACs)</w:t>
            </w:r>
          </w:p>
        </w:tc>
        <w:tc>
          <w:tcPr>
            <w:tcW w:type="dxa" w:w="2268"/>
          </w:tcPr>
          <w:p>
            <w:r>
              <w:rPr>
                <w:sz w:val="20"/>
              </w:rPr>
              <w:t>facilitates</w:t>
            </w:r>
          </w:p>
        </w:tc>
        <w:tc>
          <w:tcPr>
            <w:tcW w:type="dxa" w:w="1984"/>
          </w:tcPr>
          <w:p>
            <w:r>
              <w:rPr>
                <w:sz w:val="20"/>
              </w:rPr>
              <w:t>oxygen reduction reaction (ORR)</w:t>
            </w:r>
          </w:p>
        </w:tc>
        <w:tc>
          <w:tcPr>
            <w:tcW w:type="dxa" w:w="850"/>
          </w:tcPr>
          <w:p>
            <w:r>
              <w:rPr>
                <w:sz w:val="20"/>
              </w:rPr>
              <w:t>0.9</w:t>
            </w:r>
          </w:p>
        </w:tc>
      </w:tr>
      <w:tr>
        <w:tc>
          <w:tcPr>
            <w:tcW w:type="dxa" w:w="1984"/>
          </w:tcPr>
          <w:p>
            <w:r>
              <w:rPr>
                <w:sz w:val="20"/>
              </w:rPr>
              <w:t>heteronuclear SeN&lt;sub&gt;2&lt;/sub&gt;-MN&lt;sub&gt;2&lt;/sub&gt;</w:t>
            </w:r>
          </w:p>
        </w:tc>
        <w:tc>
          <w:tcPr>
            <w:tcW w:type="dxa" w:w="2268"/>
          </w:tcPr>
          <w:p>
            <w:r>
              <w:rPr>
                <w:sz w:val="20"/>
              </w:rPr>
              <w:t>designed for</w:t>
            </w:r>
          </w:p>
        </w:tc>
        <w:tc>
          <w:tcPr>
            <w:tcW w:type="dxa" w:w="1984"/>
          </w:tcPr>
          <w:p>
            <w:r>
              <w:rPr>
                <w:sz w:val="20"/>
              </w:rPr>
              <w:t>oxygen reduction reaction (ORR)</w:t>
            </w:r>
          </w:p>
        </w:tc>
        <w:tc>
          <w:tcPr>
            <w:tcW w:type="dxa" w:w="850"/>
          </w:tcPr>
          <w:p>
            <w:r>
              <w:rPr>
                <w:sz w:val="20"/>
              </w:rPr>
              <w:t>1.0</w:t>
            </w:r>
          </w:p>
        </w:tc>
      </w:tr>
      <w:tr>
        <w:tc>
          <w:tcPr>
            <w:tcW w:type="dxa" w:w="1984"/>
          </w:tcPr>
          <w:p>
            <w:r>
              <w:rPr>
                <w:sz w:val="20"/>
              </w:rPr>
              <w:t>SeFe dual-atom sites</w:t>
            </w:r>
          </w:p>
        </w:tc>
        <w:tc>
          <w:tcPr>
            <w:tcW w:type="dxa" w:w="2268"/>
          </w:tcPr>
          <w:p>
            <w:r>
              <w:rPr>
                <w:sz w:val="20"/>
              </w:rPr>
              <w:t>compared with</w:t>
            </w:r>
          </w:p>
        </w:tc>
        <w:tc>
          <w:tcPr>
            <w:tcW w:type="dxa" w:w="1984"/>
          </w:tcPr>
          <w:p>
            <w:r>
              <w:rPr>
                <w:sz w:val="20"/>
              </w:rPr>
              <w:t>Se or Fe single-atom sites</w:t>
            </w:r>
          </w:p>
        </w:tc>
        <w:tc>
          <w:tcPr>
            <w:tcW w:type="dxa" w:w="850"/>
          </w:tcPr>
          <w:p>
            <w:r>
              <w:rPr>
                <w:sz w:val="20"/>
              </w:rPr>
              <w:t>1.0</w:t>
            </w:r>
          </w:p>
        </w:tc>
      </w:tr>
      <w:tr>
        <w:tc>
          <w:tcPr>
            <w:tcW w:type="dxa" w:w="1984"/>
          </w:tcPr>
          <w:p>
            <w:r>
              <w:rPr>
                <w:sz w:val="20"/>
              </w:rPr>
              <w:t>selenium-iron dual-atom catalysts</w:t>
            </w:r>
          </w:p>
        </w:tc>
        <w:tc>
          <w:tcPr>
            <w:tcW w:type="dxa" w:w="2268"/>
          </w:tcPr>
          <w:p>
            <w:r>
              <w:rPr>
                <w:sz w:val="20"/>
              </w:rPr>
              <w:t>achieves</w:t>
            </w:r>
          </w:p>
        </w:tc>
        <w:tc>
          <w:tcPr>
            <w:tcW w:type="dxa" w:w="1984"/>
          </w:tcPr>
          <w:p>
            <w:r>
              <w:rPr>
                <w:sz w:val="20"/>
              </w:rPr>
              <w:t>half-wave potential</w:t>
            </w:r>
          </w:p>
        </w:tc>
        <w:tc>
          <w:tcPr>
            <w:tcW w:type="dxa" w:w="850"/>
          </w:tcPr>
          <w:p>
            <w:r>
              <w:rPr>
                <w:sz w:val="20"/>
              </w:rPr>
              <w:t>1.0</w:t>
            </w:r>
          </w:p>
        </w:tc>
      </w:tr>
      <w:tr>
        <w:tc>
          <w:tcPr>
            <w:tcW w:type="dxa" w:w="1984"/>
          </w:tcPr>
          <w:p>
            <w:r>
              <w:rPr>
                <w:sz w:val="20"/>
              </w:rPr>
              <w:t>SeN&lt;sub&gt;2&lt;/sub&gt;-FeN&lt;sub&gt;2&lt;/sub&gt;-based Zn-air battery</w:t>
            </w:r>
          </w:p>
        </w:tc>
        <w:tc>
          <w:tcPr>
            <w:tcW w:type="dxa" w:w="2268"/>
          </w:tcPr>
          <w:p>
            <w:r>
              <w:rPr>
                <w:sz w:val="20"/>
              </w:rPr>
              <w:t>has</w:t>
            </w:r>
          </w:p>
        </w:tc>
        <w:tc>
          <w:tcPr>
            <w:tcW w:type="dxa" w:w="1984"/>
          </w:tcPr>
          <w:p>
            <w:r>
              <w:rPr>
                <w:sz w:val="20"/>
              </w:rPr>
              <w:t>specific capacity</w:t>
            </w:r>
          </w:p>
        </w:tc>
        <w:tc>
          <w:tcPr>
            <w:tcW w:type="dxa" w:w="850"/>
          </w:tcPr>
          <w:p>
            <w:r>
              <w:rPr>
                <w:sz w:val="20"/>
              </w:rPr>
              <w:t>1.0</w:t>
            </w:r>
          </w:p>
        </w:tc>
      </w:tr>
    </w:tbl>
    <w:p/>
    <w:p/>
    <w:p>
      <w:r>
        <w:br w:type="page"/>
      </w:r>
    </w:p>
    <w:p>
      <w:pPr>
        <w:pStyle w:val="Heading1"/>
      </w:pPr>
      <w:r>
        <w:t>五、Stage 2c：三级查询生成</w:t>
      </w:r>
    </w:p>
    <w:p>
      <w:r>
        <w:t>基于抽取的概念和关系，生成三级层次化查询：一级（宏观核心问题）→ 二级（按辅学科维度）→ 三级（细粒度操作问题）。</w:t>
      </w:r>
    </w:p>
    <w:p>
      <w:pPr>
        <w:pStyle w:val="Heading2"/>
      </w:pPr>
      <w:r>
        <w:t>5.1 查询生成样例（3篇）</w:t>
      </w:r>
    </w:p>
    <w:p>
      <w:pPr>
        <w:pStyle w:val="Heading3"/>
      </w:pPr>
      <w:r>
        <w:t>样例 1: MXene-Assisted NiFe sulfides for high-performance anion exchange membrane seawat...</w:t>
      </w:r>
    </w:p>
    <w:p>
      <w:r>
        <w:rPr>
          <w:b/>
        </w:rPr>
        <w:t xml:space="preserve">一级查询: </w:t>
      </w:r>
      <w:r>
        <w:t>如何提升阴离子交换膜海水电解系统的性能？</w:t>
      </w:r>
    </w:p>
    <w:p>
      <w:r>
        <w:rPr>
          <w:b/>
        </w:rPr>
        <w:t xml:space="preserve">二级查询: </w:t>
      </w:r>
      <w:r/>
    </w:p>
    <w:p>
      <w:pPr>
        <w:pStyle w:val="ListBullet"/>
        <w:ind w:left="850"/>
      </w:pPr>
      <w:r>
        <w:t>如何结合过渡金属硫化物与二维材料提升电解系统的氧析出反应效率？</w:t>
      </w:r>
    </w:p>
    <w:p>
      <w:pPr>
        <w:pStyle w:val="ListBullet"/>
        <w:ind w:left="850"/>
      </w:pPr>
      <w:r>
        <w:t>如何通过界面化学调控增强电解催化剂在海水环境中的稳定性？</w:t>
      </w:r>
    </w:p>
    <w:p>
      <w:r>
        <w:rPr>
          <w:b/>
        </w:rPr>
        <w:t xml:space="preserve">三级查询: </w:t>
      </w:r>
      <w:r/>
    </w:p>
    <w:p>
      <w:pPr>
        <w:pStyle w:val="ListBullet"/>
        <w:ind w:left="850"/>
      </w:pPr>
      <w:r>
        <w:t>如何通过材料与镍铁硫化物的电子协同作用，构建触发晶格氧机制的高效催化剂？</w:t>
      </w:r>
    </w:p>
    <w:p>
      <w:pPr>
        <w:pStyle w:val="ListBullet"/>
        <w:ind w:left="850"/>
      </w:pPr>
      <w:r>
        <w:t>如何利用键抑制铁元素溶出，并结合硫酸盐保留机制实现抗氯腐蚀的长期稳定电解？</w:t>
      </w:r>
    </w:p>
    <w:p/>
    <w:p>
      <w:pPr>
        <w:pStyle w:val="Heading3"/>
      </w:pPr>
      <w:r>
        <w:t>样例 2: Leaf-based energy harvesting and storage utilizing hygroscopic iron hydrogel for...</w:t>
      </w:r>
    </w:p>
    <w:p>
      <w:r>
        <w:rPr>
          <w:b/>
        </w:rPr>
        <w:t xml:space="preserve">一级查询: </w:t>
      </w:r>
      <w:r>
        <w:t>如何利用新型材料实现持续能量收集与存储</w:t>
      </w:r>
    </w:p>
    <w:p>
      <w:r>
        <w:rPr>
          <w:b/>
        </w:rPr>
        <w:t xml:space="preserve">二级查询: </w:t>
      </w:r>
      <w:r/>
    </w:p>
    <w:p>
      <w:pPr>
        <w:pStyle w:val="ListBullet"/>
        <w:ind w:left="850"/>
      </w:pPr>
      <w:r>
        <w:t>如何结合植物叶片结构与新型材料实现能量收集</w:t>
      </w:r>
    </w:p>
    <w:p>
      <w:pPr>
        <w:pStyle w:val="ListBullet"/>
        <w:ind w:left="850"/>
      </w:pPr>
      <w:r>
        <w:t>如何通过水梯度与电双层效应提升能量转换效率</w:t>
      </w:r>
    </w:p>
    <w:p>
      <w:r>
        <w:rPr>
          <w:b/>
        </w:rPr>
        <w:t xml:space="preserve">三级查询: </w:t>
      </w:r>
      <w:r/>
    </w:p>
    <w:p>
      <w:pPr>
        <w:pStyle w:val="ListBullet"/>
        <w:ind w:left="850"/>
      </w:pPr>
      <w:r>
        <w:t>如何通过叶片细胞结构调控碳涂层分布，协同水凝胶建立水梯度，进而形成电双层实现类电容充放电</w:t>
      </w:r>
    </w:p>
    <w:p>
      <w:pPr>
        <w:pStyle w:val="ListBullet"/>
        <w:ind w:left="850"/>
      </w:pPr>
      <w:r>
        <w:t>如何整合吸湿性材料特性与植物表面微观结构，构建从水分吸附到电能输出的完整能量转换链条</w:t>
      </w:r>
    </w:p>
    <w:p/>
    <w:p>
      <w:pPr>
        <w:pStyle w:val="Heading3"/>
      </w:pPr>
      <w:r>
        <w:t>样例 3: Precisely designing asymmetrical selenium-based dual-atom sites for efficient ox...</w:t>
      </w:r>
    </w:p>
    <w:p>
      <w:r>
        <w:rPr>
          <w:b/>
        </w:rPr>
        <w:t xml:space="preserve">一级查询: </w:t>
      </w:r>
      <w:r>
        <w:t>如何设计高效的双原子催化剂以提升氧还原反应性能</w:t>
      </w:r>
    </w:p>
    <w:p>
      <w:r>
        <w:rPr>
          <w:b/>
        </w:rPr>
        <w:t xml:space="preserve">二级查询: </w:t>
      </w:r>
      <w:r/>
    </w:p>
    <w:p>
      <w:pPr>
        <w:pStyle w:val="ListBullet"/>
        <w:ind w:left="850"/>
      </w:pPr>
      <w:r>
        <w:t>如何结合异核双原子位点设计与电化学测试方法优化催化剂性能</w:t>
      </w:r>
    </w:p>
    <w:p>
      <w:pPr>
        <w:pStyle w:val="ListBullet"/>
        <w:ind w:left="850"/>
      </w:pPr>
      <w:r>
        <w:t>如何利用锌空气电池系统验证双原子催化剂的实用效能</w:t>
      </w:r>
    </w:p>
    <w:p>
      <w:r>
        <w:rPr>
          <w:b/>
        </w:rPr>
        <w:t xml:space="preserve">三级查询: </w:t>
      </w:r>
      <w:r/>
    </w:p>
    <w:p>
      <w:pPr>
        <w:pStyle w:val="ListBullet"/>
        <w:ind w:left="850"/>
      </w:pPr>
      <w:r>
        <w:t>如何通过异核硒铁双原子位点的协同作用降低氧中间体转化能垒，并结合电化学半波电位测试验证催化效率提升</w:t>
      </w:r>
    </w:p>
    <w:p>
      <w:pPr>
        <w:pStyle w:val="ListBullet"/>
        <w:ind w:left="850"/>
      </w:pPr>
      <w:r>
        <w:t>如何整合双原子催化剂设计与锌空气电池组装工艺，通过比容量与功率密度指标验证其实际应用潜力</w:t>
      </w:r>
    </w:p>
    <w:p/>
    <w:p>
      <w:r>
        <w:br w:type="page"/>
      </w:r>
    </w:p>
    <w:p>
      <w:pPr>
        <w:pStyle w:val="Heading1"/>
      </w:pPr>
      <w:r>
        <w:t>六、Stage 2d：三级假设生成</w:t>
      </w:r>
    </w:p>
    <w:p>
      <w:r>
        <w:t>基于概念、关系和查询，生成三级结构化假设。每条假设为 3 步链式推理路径（head → relation → tail），附带总结。</w:t>
      </w:r>
    </w:p>
    <w:p>
      <w:pPr>
        <w:pStyle w:val="Heading2"/>
      </w:pPr>
      <w:r>
        <w:t>6.1 假设生成样例（3篇）</w:t>
      </w:r>
    </w:p>
    <w:p>
      <w:pPr>
        <w:pStyle w:val="Heading3"/>
      </w:pPr>
      <w:r>
        <w:t>样例 1: MXene-Assisted NiFe sulfides for high-performance anion exchange membrane seawat...</w:t>
      </w:r>
    </w:p>
    <w:p>
      <w:r>
        <w:rPr>
          <w:b/>
        </w:rPr>
        <w:t xml:space="preserve">一级假设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阴离子交换膜海水电解</w:t>
            </w:r>
          </w:p>
        </w:tc>
        <w:tc>
          <w:tcPr>
            <w:tcW w:type="dxa" w:w="2268"/>
          </w:tcPr>
          <w:p>
            <w:r>
              <w:rPr>
                <w:sz w:val="20"/>
              </w:rPr>
              <w:t>缺乏</w:t>
            </w:r>
          </w:p>
        </w:tc>
        <w:tc>
          <w:tcPr>
            <w:tcW w:type="dxa" w:w="2268"/>
          </w:tcPr>
          <w:p>
            <w:r>
              <w:rPr>
                <w:sz w:val="20"/>
              </w:rPr>
              <w:t>氧析出反应电催化剂</w:t>
            </w:r>
          </w:p>
        </w:tc>
      </w:tr>
      <w:tr>
        <w:tc>
          <w:tcPr>
            <w:tcW w:type="dxa" w:w="850"/>
          </w:tcPr>
          <w:p>
            <w:r>
              <w:rPr>
                <w:sz w:val="20"/>
              </w:rPr>
              <w:t>2</w:t>
            </w:r>
          </w:p>
        </w:tc>
        <w:tc>
          <w:tcPr>
            <w:tcW w:type="dxa" w:w="2268"/>
          </w:tcPr>
          <w:p>
            <w:r>
              <w:rPr>
                <w:sz w:val="20"/>
              </w:rPr>
              <w:t>氧析出反应电催化剂</w:t>
            </w:r>
          </w:p>
        </w:tc>
        <w:tc>
          <w:tcPr>
            <w:tcW w:type="dxa" w:w="2268"/>
          </w:tcPr>
          <w:p>
            <w:r>
              <w:rPr>
                <w:sz w:val="20"/>
              </w:rPr>
              <w:t>通过整合</w:t>
            </w:r>
          </w:p>
        </w:tc>
        <w:tc>
          <w:tcPr>
            <w:tcW w:type="dxa" w:w="2268"/>
          </w:tcPr>
          <w:p>
            <w:r>
              <w:rPr>
                <w:sz w:val="20"/>
              </w:rPr>
              <w:t>）</w:t>
            </w:r>
          </w:p>
        </w:tc>
      </w:tr>
      <w:tr>
        <w:tc>
          <w:tcPr>
            <w:tcW w:type="dxa" w:w="850"/>
          </w:tcPr>
          <w:p>
            <w:r>
              <w:rPr>
                <w:sz w:val="20"/>
              </w:rPr>
              <w:t>3</w:t>
            </w:r>
          </w:p>
        </w:tc>
        <w:tc>
          <w:tcPr>
            <w:tcW w:type="dxa" w:w="2268"/>
          </w:tcPr>
          <w:p>
            <w:r>
              <w:rPr>
                <w:sz w:val="20"/>
              </w:rPr>
              <w:t>）</w:t>
            </w:r>
          </w:p>
        </w:tc>
        <w:tc>
          <w:tcPr>
            <w:tcW w:type="dxa" w:w="2268"/>
          </w:tcPr>
          <w:p>
            <w:r>
              <w:rPr>
                <w:sz w:val="20"/>
              </w:rPr>
              <w:t>结合</w:t>
            </w:r>
          </w:p>
        </w:tc>
        <w:tc>
          <w:tcPr>
            <w:tcW w:type="dxa" w:w="2268"/>
          </w:tcPr>
          <w:p>
            <w:r>
              <w:rPr>
                <w:sz w:val="20"/>
              </w:rPr>
              <w:t>硫化物 ((,)@)</w:t>
            </w:r>
          </w:p>
        </w:tc>
      </w:tr>
    </w:tbl>
    <w:p/>
    <w:p>
      <w:r>
        <w:rPr>
          <w:b/>
        </w:rPr>
        <w:t xml:space="preserve">一级总结: </w:t>
      </w:r>
      <w:r/>
    </w:p>
    <w:p>
      <w:pPr>
        <w:pStyle w:val="ListBullet"/>
        <w:ind w:left="850"/>
      </w:pPr>
      <w:r>
        <w:t>阴离子交换膜海水电解系统因缺乏高效氧析出反应电催化剂而性能受限，通过整合 ）与硫化物可显著提升系统性能</w:t>
      </w:r>
    </w:p>
    <w:p>
      <w:pPr>
        <w:pStyle w:val="ListBullet"/>
        <w:ind w:left="850"/>
      </w:pPr>
      <w:r>
        <w:t>阴离子交换膜海水电解系统的长期耐久性不足，通过形成键抑制铁元素溶出，可有效增强系统的稳定性</w:t>
      </w:r>
    </w:p>
    <w:p>
      <w:r>
        <w:rPr>
          <w:b/>
        </w:rPr>
        <w:t xml:space="preserve">二级假设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w:t>
            </w:r>
          </w:p>
        </w:tc>
        <w:tc>
          <w:tcPr>
            <w:tcW w:type="dxa" w:w="2268"/>
          </w:tcPr>
          <w:p>
            <w:r>
              <w:rPr>
                <w:sz w:val="20"/>
              </w:rPr>
              <w:t>整合形成复合结构</w:t>
            </w:r>
          </w:p>
        </w:tc>
        <w:tc>
          <w:tcPr>
            <w:tcW w:type="dxa" w:w="2268"/>
          </w:tcPr>
          <w:p>
            <w:r>
              <w:rPr>
                <w:sz w:val="20"/>
              </w:rPr>
              <w:t>硫化物 ((,)@)</w:t>
            </w:r>
          </w:p>
        </w:tc>
      </w:tr>
      <w:tr>
        <w:tc>
          <w:tcPr>
            <w:tcW w:type="dxa" w:w="850"/>
          </w:tcPr>
          <w:p>
            <w:r>
              <w:rPr>
                <w:sz w:val="20"/>
              </w:rPr>
              <w:t>2</w:t>
            </w:r>
          </w:p>
        </w:tc>
        <w:tc>
          <w:tcPr>
            <w:tcW w:type="dxa" w:w="2268"/>
          </w:tcPr>
          <w:p>
            <w:r>
              <w:rPr>
                <w:sz w:val="20"/>
              </w:rPr>
              <w:t>硫化物 ((,)@)</w:t>
            </w:r>
          </w:p>
        </w:tc>
        <w:tc>
          <w:tcPr>
            <w:tcW w:type="dxa" w:w="2268"/>
          </w:tcPr>
          <w:p>
            <w:r>
              <w:rPr>
                <w:sz w:val="20"/>
              </w:rPr>
              <w:t>电子重分布触发</w:t>
            </w:r>
          </w:p>
        </w:tc>
        <w:tc>
          <w:tcPr>
            <w:tcW w:type="dxa" w:w="2268"/>
          </w:tcPr>
          <w:p>
            <w:r>
              <w:rPr>
                <w:sz w:val="20"/>
              </w:rPr>
              <w:t>晶格氧机制</w:t>
            </w:r>
          </w:p>
        </w:tc>
      </w:tr>
      <w:tr>
        <w:tc>
          <w:tcPr>
            <w:tcW w:type="dxa" w:w="850"/>
          </w:tcPr>
          <w:p>
            <w:r>
              <w:rPr>
                <w:sz w:val="20"/>
              </w:rPr>
              <w:t>3</w:t>
            </w:r>
          </w:p>
        </w:tc>
        <w:tc>
          <w:tcPr>
            <w:tcW w:type="dxa" w:w="2268"/>
          </w:tcPr>
          <w:p>
            <w:r>
              <w:rPr>
                <w:sz w:val="20"/>
              </w:rPr>
              <w:t>晶格氧机制</w:t>
            </w:r>
          </w:p>
        </w:tc>
        <w:tc>
          <w:tcPr>
            <w:tcW w:type="dxa" w:w="2268"/>
          </w:tcPr>
          <w:p>
            <w:r>
              <w:rPr>
                <w:sz w:val="20"/>
              </w:rPr>
              <w:t>提升反应动力学</w:t>
            </w:r>
          </w:p>
        </w:tc>
        <w:tc>
          <w:tcPr>
            <w:tcW w:type="dxa" w:w="2268"/>
          </w:tcPr>
          <w:p>
            <w:r>
              <w:rPr>
                <w:sz w:val="20"/>
              </w:rPr>
              <w:t>活性 (1.598 @2 )</w:t>
            </w:r>
          </w:p>
        </w:tc>
      </w:tr>
    </w:tbl>
    <w:p/>
    <w:p>
      <w:r>
        <w:rPr>
          <w:b/>
        </w:rPr>
        <w:t xml:space="preserve">二级总结: </w:t>
      </w:r>
      <w:r/>
    </w:p>
    <w:p>
      <w:pPr>
        <w:pStyle w:val="ListBullet"/>
        <w:ind w:left="850"/>
      </w:pPr>
      <w:r>
        <w:t>通过与硫化物的复合结构设计，触发晶格氧机制优化电子传输路径，从而显著提升氧析出反应的电催化效率</w:t>
      </w:r>
    </w:p>
    <w:p>
      <w:pPr>
        <w:pStyle w:val="ListBullet"/>
        <w:ind w:left="850"/>
      </w:pPr>
      <w:r>
        <w:t>利用界面化学键稳定活性中心并协同抗腐蚀组分，构建抑制金属溶出和氯侵蚀的双重保护机制，实现电解系统的长期稳定运行</w:t>
      </w:r>
    </w:p>
    <w:p>
      <w:r>
        <w:rPr>
          <w:b/>
        </w:rPr>
        <w:t xml:space="preserve">三级假设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w:t>
            </w:r>
          </w:p>
        </w:tc>
        <w:tc>
          <w:tcPr>
            <w:tcW w:type="dxa" w:w="2268"/>
          </w:tcPr>
          <w:p>
            <w:r>
              <w:rPr>
                <w:sz w:val="20"/>
              </w:rPr>
              <w:t>通过电子协同作用整合</w:t>
            </w:r>
          </w:p>
        </w:tc>
        <w:tc>
          <w:tcPr>
            <w:tcW w:type="dxa" w:w="2268"/>
          </w:tcPr>
          <w:p>
            <w:r>
              <w:rPr>
                <w:sz w:val="20"/>
              </w:rPr>
              <w:t>硫化物 ((,)@)</w:t>
            </w:r>
          </w:p>
        </w:tc>
      </w:tr>
      <w:tr>
        <w:tc>
          <w:tcPr>
            <w:tcW w:type="dxa" w:w="850"/>
          </w:tcPr>
          <w:p>
            <w:r>
              <w:rPr>
                <w:sz w:val="20"/>
              </w:rPr>
              <w:t>2</w:t>
            </w:r>
          </w:p>
        </w:tc>
        <w:tc>
          <w:tcPr>
            <w:tcW w:type="dxa" w:w="2268"/>
          </w:tcPr>
          <w:p>
            <w:r>
              <w:rPr>
                <w:sz w:val="20"/>
              </w:rPr>
              <w:t>硫化物 ((,)@)</w:t>
            </w:r>
          </w:p>
        </w:tc>
        <w:tc>
          <w:tcPr>
            <w:tcW w:type="dxa" w:w="2268"/>
          </w:tcPr>
          <w:p>
            <w:r>
              <w:rPr>
                <w:sz w:val="20"/>
              </w:rPr>
              <w:t>诱导电子分布触发</w:t>
            </w:r>
          </w:p>
        </w:tc>
        <w:tc>
          <w:tcPr>
            <w:tcW w:type="dxa" w:w="2268"/>
          </w:tcPr>
          <w:p>
            <w:r>
              <w:rPr>
                <w:sz w:val="20"/>
              </w:rPr>
              <w:t>晶格氧机制</w:t>
            </w:r>
          </w:p>
        </w:tc>
      </w:tr>
      <w:tr>
        <w:tc>
          <w:tcPr>
            <w:tcW w:type="dxa" w:w="850"/>
          </w:tcPr>
          <w:p>
            <w:r>
              <w:rPr>
                <w:sz w:val="20"/>
              </w:rPr>
              <w:t>3</w:t>
            </w:r>
          </w:p>
        </w:tc>
        <w:tc>
          <w:tcPr>
            <w:tcW w:type="dxa" w:w="2268"/>
          </w:tcPr>
          <w:p>
            <w:r>
              <w:rPr>
                <w:sz w:val="20"/>
              </w:rPr>
              <w:t>晶格氧机制</w:t>
            </w:r>
          </w:p>
        </w:tc>
        <w:tc>
          <w:tcPr>
            <w:tcW w:type="dxa" w:w="2268"/>
          </w:tcPr>
          <w:p>
            <w:r>
              <w:rPr>
                <w:sz w:val="20"/>
              </w:rPr>
              <w:t>显著提升</w:t>
            </w:r>
          </w:p>
        </w:tc>
        <w:tc>
          <w:tcPr>
            <w:tcW w:type="dxa" w:w="2268"/>
          </w:tcPr>
          <w:p>
            <w:r>
              <w:rPr>
                <w:sz w:val="20"/>
              </w:rPr>
              <w:t>活性 (1.598 @2 )</w:t>
            </w:r>
          </w:p>
        </w:tc>
      </w:tr>
    </w:tbl>
    <w:p/>
    <w:p>
      <w:r>
        <w:rPr>
          <w:b/>
        </w:rPr>
        <w:t xml:space="preserve">三级总结: </w:t>
      </w:r>
      <w:r/>
    </w:p>
    <w:p>
      <w:pPr>
        <w:pStyle w:val="ListBullet"/>
        <w:ind w:left="850"/>
      </w:pPr>
      <w:r>
        <w:t>通过与镍铁硫化物的电子协同整合触发晶格氧机制，从而显著提升氧析出反应活性</w:t>
      </w:r>
    </w:p>
    <w:p>
      <w:pPr>
        <w:pStyle w:val="ListBullet"/>
        <w:ind w:left="850"/>
      </w:pPr>
      <w:r>
        <w:t>利用键抑制铁溶出，协同硫酸盐保留机制实现抗氯腐蚀的长期稳定电解</w:t>
      </w:r>
    </w:p>
    <w:p/>
    <w:p>
      <w:pPr>
        <w:pStyle w:val="Heading3"/>
      </w:pPr>
      <w:r>
        <w:t>样例 2: Leaf-based energy harvesting and storage utilizing hygroscopic iron hydrogel for...</w:t>
      </w:r>
    </w:p>
    <w:p>
      <w:r>
        <w:rPr>
          <w:b/>
        </w:rPr>
        <w:t xml:space="preserve">一级假设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吸湿性铁水凝胶</w:t>
            </w:r>
          </w:p>
        </w:tc>
        <w:tc>
          <w:tcPr>
            <w:tcW w:type="dxa" w:w="2268"/>
          </w:tcPr>
          <w:p>
            <w:r>
              <w:rPr>
                <w:sz w:val="20"/>
              </w:rPr>
              <w:t>建立</w:t>
            </w:r>
          </w:p>
        </w:tc>
        <w:tc>
          <w:tcPr>
            <w:tcW w:type="dxa" w:w="2268"/>
          </w:tcPr>
          <w:p>
            <w:r>
              <w:rPr>
                <w:sz w:val="20"/>
              </w:rPr>
              <w:t>水梯度</w:t>
            </w:r>
          </w:p>
        </w:tc>
      </w:tr>
      <w:tr>
        <w:tc>
          <w:tcPr>
            <w:tcW w:type="dxa" w:w="850"/>
          </w:tcPr>
          <w:p>
            <w:r>
              <w:rPr>
                <w:sz w:val="20"/>
              </w:rPr>
              <w:t>2</w:t>
            </w:r>
          </w:p>
        </w:tc>
        <w:tc>
          <w:tcPr>
            <w:tcW w:type="dxa" w:w="2268"/>
          </w:tcPr>
          <w:p>
            <w:r>
              <w:rPr>
                <w:sz w:val="20"/>
              </w:rPr>
              <w:t>水梯度</w:t>
            </w:r>
          </w:p>
        </w:tc>
        <w:tc>
          <w:tcPr>
            <w:tcW w:type="dxa" w:w="2268"/>
          </w:tcPr>
          <w:p>
            <w:r>
              <w:rPr>
                <w:sz w:val="20"/>
              </w:rPr>
              <w:t>形成</w:t>
            </w:r>
          </w:p>
        </w:tc>
        <w:tc>
          <w:tcPr>
            <w:tcW w:type="dxa" w:w="2268"/>
          </w:tcPr>
          <w:p>
            <w:r>
              <w:rPr>
                <w:sz w:val="20"/>
              </w:rPr>
              <w:t>电双层</w:t>
            </w:r>
          </w:p>
        </w:tc>
      </w:tr>
      <w:tr>
        <w:tc>
          <w:tcPr>
            <w:tcW w:type="dxa" w:w="850"/>
          </w:tcPr>
          <w:p>
            <w:r>
              <w:rPr>
                <w:sz w:val="20"/>
              </w:rPr>
              <w:t>3</w:t>
            </w:r>
          </w:p>
        </w:tc>
        <w:tc>
          <w:tcPr>
            <w:tcW w:type="dxa" w:w="2268"/>
          </w:tcPr>
          <w:p>
            <w:r>
              <w:rPr>
                <w:sz w:val="20"/>
              </w:rPr>
              <w:t>电双层</w:t>
            </w:r>
          </w:p>
        </w:tc>
        <w:tc>
          <w:tcPr>
            <w:tcW w:type="dxa" w:w="2268"/>
          </w:tcPr>
          <w:p>
            <w:r>
              <w:rPr>
                <w:sz w:val="20"/>
              </w:rPr>
              <w:t>表现出</w:t>
            </w:r>
          </w:p>
        </w:tc>
        <w:tc>
          <w:tcPr>
            <w:tcW w:type="dxa" w:w="2268"/>
          </w:tcPr>
          <w:p>
            <w:r>
              <w:rPr>
                <w:sz w:val="20"/>
              </w:rPr>
              <w:t>类电容行为</w:t>
            </w:r>
          </w:p>
        </w:tc>
      </w:tr>
    </w:tbl>
    <w:p/>
    <w:p>
      <w:r>
        <w:rPr>
          <w:b/>
        </w:rPr>
        <w:t xml:space="preserve">一级总结: </w:t>
      </w:r>
      <w:r/>
    </w:p>
    <w:p>
      <w:pPr>
        <w:pStyle w:val="ListBullet"/>
        <w:ind w:left="850"/>
      </w:pPr>
      <w:r>
        <w:t>材料科学在利用吸湿性铁水凝胶建立水梯度并形成电双层实现能量收集方面存在瓶颈，需要植物学领域对叶片微观结构进行优化以提升能量转换效率</w:t>
      </w:r>
    </w:p>
    <w:p>
      <w:pPr>
        <w:pStyle w:val="ListBullet"/>
        <w:ind w:left="850"/>
      </w:pPr>
      <w:r>
        <w:t>材料科学在通过叶片细胞结构实现均匀碳涂层提升电导率方面存在瓶颈，需要电化学领域对电极材料进行优化以进一步提升能量存储密度</w:t>
      </w:r>
    </w:p>
    <w:p>
      <w:r>
        <w:rPr>
          <w:b/>
        </w:rPr>
        <w:t xml:space="preserve">二级假设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叶片细胞结构</w:t>
            </w:r>
          </w:p>
        </w:tc>
        <w:tc>
          <w:tcPr>
            <w:tcW w:type="dxa" w:w="2268"/>
          </w:tcPr>
          <w:p>
            <w:r>
              <w:rPr>
                <w:sz w:val="20"/>
              </w:rPr>
              <w:t>调控分布</w:t>
            </w:r>
          </w:p>
        </w:tc>
        <w:tc>
          <w:tcPr>
            <w:tcW w:type="dxa" w:w="2268"/>
          </w:tcPr>
          <w:p>
            <w:r>
              <w:rPr>
                <w:sz w:val="20"/>
              </w:rPr>
              <w:t>碳涂层</w:t>
            </w:r>
          </w:p>
        </w:tc>
      </w:tr>
      <w:tr>
        <w:tc>
          <w:tcPr>
            <w:tcW w:type="dxa" w:w="850"/>
          </w:tcPr>
          <w:p>
            <w:r>
              <w:rPr>
                <w:sz w:val="20"/>
              </w:rPr>
              <w:t>2</w:t>
            </w:r>
          </w:p>
        </w:tc>
        <w:tc>
          <w:tcPr>
            <w:tcW w:type="dxa" w:w="2268"/>
          </w:tcPr>
          <w:p>
            <w:r>
              <w:rPr>
                <w:sz w:val="20"/>
              </w:rPr>
              <w:t>碳涂层</w:t>
            </w:r>
          </w:p>
        </w:tc>
        <w:tc>
          <w:tcPr>
            <w:tcW w:type="dxa" w:w="2268"/>
          </w:tcPr>
          <w:p>
            <w:r>
              <w:rPr>
                <w:sz w:val="20"/>
              </w:rPr>
              <w:t>提升</w:t>
            </w:r>
          </w:p>
        </w:tc>
        <w:tc>
          <w:tcPr>
            <w:tcW w:type="dxa" w:w="2268"/>
          </w:tcPr>
          <w:p>
            <w:r>
              <w:rPr>
                <w:sz w:val="20"/>
              </w:rPr>
              <w:t>电导率</w:t>
            </w:r>
          </w:p>
        </w:tc>
      </w:tr>
      <w:tr>
        <w:tc>
          <w:tcPr>
            <w:tcW w:type="dxa" w:w="850"/>
          </w:tcPr>
          <w:p>
            <w:r>
              <w:rPr>
                <w:sz w:val="20"/>
              </w:rPr>
              <w:t>3</w:t>
            </w:r>
          </w:p>
        </w:tc>
        <w:tc>
          <w:tcPr>
            <w:tcW w:type="dxa" w:w="2268"/>
          </w:tcPr>
          <w:p>
            <w:r>
              <w:rPr>
                <w:sz w:val="20"/>
              </w:rPr>
              <w:t>电导率</w:t>
            </w:r>
          </w:p>
        </w:tc>
        <w:tc>
          <w:tcPr>
            <w:tcW w:type="dxa" w:w="2268"/>
          </w:tcPr>
          <w:p>
            <w:r>
              <w:rPr>
                <w:sz w:val="20"/>
              </w:rPr>
              <w:t>转化为</w:t>
            </w:r>
          </w:p>
        </w:tc>
        <w:tc>
          <w:tcPr>
            <w:tcW w:type="dxa" w:w="2268"/>
          </w:tcPr>
          <w:p>
            <w:r>
              <w:rPr>
                <w:sz w:val="20"/>
              </w:rPr>
              <w:t>49微安/平方厘米</w:t>
            </w:r>
          </w:p>
        </w:tc>
      </w:tr>
    </w:tbl>
    <w:p/>
    <w:p>
      <w:r>
        <w:rPr>
          <w:b/>
        </w:rPr>
        <w:t xml:space="preserve">二级总结: </w:t>
      </w:r>
      <w:r/>
    </w:p>
    <w:p>
      <w:pPr>
        <w:pStyle w:val="ListBullet"/>
        <w:ind w:left="850"/>
      </w:pPr>
      <w:r>
        <w:t>通过叶片微观结构调控碳涂层分布，形成高导电网络，最终实现微安级电流输出</w:t>
      </w:r>
    </w:p>
    <w:p>
      <w:pPr>
        <w:pStyle w:val="ListBullet"/>
        <w:ind w:left="850"/>
      </w:pPr>
      <w:r>
        <w:t>利用吸湿材料建立水梯度驱动电双层形成，完成从水分吸附到电容储能的能量转换链条</w:t>
      </w:r>
    </w:p>
    <w:p>
      <w:r>
        <w:rPr>
          <w:b/>
        </w:rPr>
        <w:t xml:space="preserve">三级假设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叶片细胞结构</w:t>
            </w:r>
          </w:p>
        </w:tc>
        <w:tc>
          <w:tcPr>
            <w:tcW w:type="dxa" w:w="2268"/>
          </w:tcPr>
          <w:p>
            <w:r>
              <w:rPr>
                <w:sz w:val="20"/>
              </w:rPr>
              <w:t>调控分布</w:t>
            </w:r>
          </w:p>
        </w:tc>
        <w:tc>
          <w:tcPr>
            <w:tcW w:type="dxa" w:w="2268"/>
          </w:tcPr>
          <w:p>
            <w:r>
              <w:rPr>
                <w:sz w:val="20"/>
              </w:rPr>
              <w:t>碳涂层</w:t>
            </w:r>
          </w:p>
        </w:tc>
      </w:tr>
      <w:tr>
        <w:tc>
          <w:tcPr>
            <w:tcW w:type="dxa" w:w="850"/>
          </w:tcPr>
          <w:p>
            <w:r>
              <w:rPr>
                <w:sz w:val="20"/>
              </w:rPr>
              <w:t>2</w:t>
            </w:r>
          </w:p>
        </w:tc>
        <w:tc>
          <w:tcPr>
            <w:tcW w:type="dxa" w:w="2268"/>
          </w:tcPr>
          <w:p>
            <w:r>
              <w:rPr>
                <w:sz w:val="20"/>
              </w:rPr>
              <w:t>碳涂层</w:t>
            </w:r>
          </w:p>
        </w:tc>
        <w:tc>
          <w:tcPr>
            <w:tcW w:type="dxa" w:w="2268"/>
          </w:tcPr>
          <w:p>
            <w:r>
              <w:rPr>
                <w:sz w:val="20"/>
              </w:rPr>
              <w:t>协同作用</w:t>
            </w:r>
          </w:p>
        </w:tc>
        <w:tc>
          <w:tcPr>
            <w:tcW w:type="dxa" w:w="2268"/>
          </w:tcPr>
          <w:p>
            <w:r>
              <w:rPr>
                <w:sz w:val="20"/>
              </w:rPr>
              <w:t>吸湿性铁水凝胶</w:t>
            </w:r>
          </w:p>
        </w:tc>
      </w:tr>
      <w:tr>
        <w:tc>
          <w:tcPr>
            <w:tcW w:type="dxa" w:w="850"/>
          </w:tcPr>
          <w:p>
            <w:r>
              <w:rPr>
                <w:sz w:val="20"/>
              </w:rPr>
              <w:t>3</w:t>
            </w:r>
          </w:p>
        </w:tc>
        <w:tc>
          <w:tcPr>
            <w:tcW w:type="dxa" w:w="2268"/>
          </w:tcPr>
          <w:p>
            <w:r>
              <w:rPr>
                <w:sz w:val="20"/>
              </w:rPr>
              <w:t>吸湿性铁水凝胶</w:t>
            </w:r>
          </w:p>
        </w:tc>
        <w:tc>
          <w:tcPr>
            <w:tcW w:type="dxa" w:w="2268"/>
          </w:tcPr>
          <w:p>
            <w:r>
              <w:rPr>
                <w:sz w:val="20"/>
              </w:rPr>
              <w:t>形成</w:t>
            </w:r>
          </w:p>
        </w:tc>
        <w:tc>
          <w:tcPr>
            <w:tcW w:type="dxa" w:w="2268"/>
          </w:tcPr>
          <w:p>
            <w:r>
              <w:rPr>
                <w:sz w:val="20"/>
              </w:rPr>
              <w:t>电双层</w:t>
            </w:r>
          </w:p>
        </w:tc>
      </w:tr>
    </w:tbl>
    <w:p/>
    <w:p>
      <w:r>
        <w:rPr>
          <w:b/>
        </w:rPr>
        <w:t xml:space="preserve">三级总结: </w:t>
      </w:r>
      <w:r/>
    </w:p>
    <w:p>
      <w:pPr>
        <w:pStyle w:val="ListBullet"/>
        <w:ind w:left="850"/>
      </w:pPr>
      <w:r>
        <w:t>通过调控叶片细胞结构优化碳涂层分布，协同吸湿性铁水凝胶建立水梯度，最终形成电双层实现能量存储的类电容行为</w:t>
      </w:r>
    </w:p>
    <w:p>
      <w:pPr>
        <w:pStyle w:val="ListBullet"/>
        <w:ind w:left="850"/>
      </w:pPr>
      <w:r>
        <w:t>利用吸湿性铁水凝胶建立水梯度提升电导率，最终实现从水分吸附到电能输出的完整能量转换链条</w:t>
      </w:r>
    </w:p>
    <w:p/>
    <w:p>
      <w:pPr>
        <w:pStyle w:val="Heading3"/>
      </w:pPr>
      <w:r>
        <w:t>样例 3: Precisely designing asymmetrical selenium-based dual-atom sites for efficient ox...</w:t>
      </w:r>
    </w:p>
    <w:p>
      <w:r>
        <w:rPr>
          <w:b/>
        </w:rPr>
        <w:t xml:space="preserve">一级假设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双原子催化剂</w:t>
            </w:r>
          </w:p>
        </w:tc>
        <w:tc>
          <w:tcPr>
            <w:tcW w:type="dxa" w:w="2268"/>
          </w:tcPr>
          <w:p>
            <w:r>
              <w:rPr>
                <w:sz w:val="20"/>
              </w:rPr>
              <w:t>促进</w:t>
            </w:r>
          </w:p>
        </w:tc>
        <w:tc>
          <w:tcPr>
            <w:tcW w:type="dxa" w:w="2268"/>
          </w:tcPr>
          <w:p>
            <w:r>
              <w:rPr>
                <w:sz w:val="20"/>
              </w:rPr>
              <w:t>氧还原反应</w:t>
            </w:r>
          </w:p>
        </w:tc>
      </w:tr>
      <w:tr>
        <w:tc>
          <w:tcPr>
            <w:tcW w:type="dxa" w:w="850"/>
          </w:tcPr>
          <w:p>
            <w:r>
              <w:rPr>
                <w:sz w:val="20"/>
              </w:rPr>
              <w:t>2</w:t>
            </w:r>
          </w:p>
        </w:tc>
        <w:tc>
          <w:tcPr>
            <w:tcW w:type="dxa" w:w="2268"/>
          </w:tcPr>
          <w:p>
            <w:r>
              <w:rPr>
                <w:sz w:val="20"/>
              </w:rPr>
              <w:t>氧还原反应</w:t>
            </w:r>
          </w:p>
        </w:tc>
        <w:tc>
          <w:tcPr>
            <w:tcW w:type="dxa" w:w="2268"/>
          </w:tcPr>
          <w:p>
            <w:r>
              <w:rPr>
                <w:sz w:val="20"/>
              </w:rPr>
              <w:t>通过</w:t>
            </w:r>
          </w:p>
        </w:tc>
        <w:tc>
          <w:tcPr>
            <w:tcW w:type="dxa" w:w="2268"/>
          </w:tcPr>
          <w:p>
            <w:r>
              <w:rPr>
                <w:sz w:val="20"/>
              </w:rPr>
              <w:t>异核&lt;&gt;2&lt;/&gt;-&lt;&gt;2&lt;/&gt;</w:t>
            </w:r>
          </w:p>
        </w:tc>
      </w:tr>
      <w:tr>
        <w:tc>
          <w:tcPr>
            <w:tcW w:type="dxa" w:w="850"/>
          </w:tcPr>
          <w:p>
            <w:r>
              <w:rPr>
                <w:sz w:val="20"/>
              </w:rPr>
              <w:t>3</w:t>
            </w:r>
          </w:p>
        </w:tc>
        <w:tc>
          <w:tcPr>
            <w:tcW w:type="dxa" w:w="2268"/>
          </w:tcPr>
          <w:p>
            <w:r>
              <w:rPr>
                <w:sz w:val="20"/>
              </w:rPr>
              <w:t>异核&lt;&gt;2&lt;/&gt;-&lt;&gt;2&lt;/&gt;</w:t>
            </w:r>
          </w:p>
        </w:tc>
        <w:tc>
          <w:tcPr>
            <w:tcW w:type="dxa" w:w="2268"/>
          </w:tcPr>
          <w:p>
            <w:r>
              <w:rPr>
                <w:sz w:val="20"/>
              </w:rPr>
              <w:t>优化</w:t>
            </w:r>
          </w:p>
        </w:tc>
        <w:tc>
          <w:tcPr>
            <w:tcW w:type="dxa" w:w="2268"/>
          </w:tcPr>
          <w:p>
            <w:r>
              <w:rPr>
                <w:sz w:val="20"/>
              </w:rPr>
              <w:t>双原子位点</w:t>
            </w:r>
          </w:p>
        </w:tc>
      </w:tr>
    </w:tbl>
    <w:p/>
    <w:p>
      <w:r>
        <w:rPr>
          <w:b/>
        </w:rPr>
        <w:t xml:space="preserve">一级总结: </w:t>
      </w:r>
      <w:r/>
    </w:p>
    <w:p>
      <w:pPr>
        <w:pStyle w:val="ListBullet"/>
        <w:ind w:left="850"/>
      </w:pPr>
      <w:r>
        <w:t>双原子催化剂通过异核&lt;&gt;2&lt;/&gt;-&lt;&gt;2&lt;/&gt;活性位点的设计提升氧还原反应效率，需进一步研究双原子位点的协同作用以降低能垒</w:t>
      </w:r>
    </w:p>
    <w:p>
      <w:pPr>
        <w:pStyle w:val="ListBullet"/>
        <w:ind w:left="850"/>
      </w:pPr>
      <w:r>
        <w:t>双原子催化剂在锌空气电池中实现高比容量，需优化功率密度以验证其实际应用潜力</w:t>
      </w:r>
    </w:p>
    <w:p>
      <w:r>
        <w:rPr>
          <w:b/>
        </w:rPr>
        <w:t xml:space="preserve">二级假设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异核&lt;&gt;2&lt;/&gt;-&lt;&gt;2&lt;/&gt;</w:t>
            </w:r>
          </w:p>
        </w:tc>
        <w:tc>
          <w:tcPr>
            <w:tcW w:type="dxa" w:w="2268"/>
          </w:tcPr>
          <w:p>
            <w:r>
              <w:rPr>
                <w:sz w:val="20"/>
              </w:rPr>
              <w:t>通过结构设计形成</w:t>
            </w:r>
          </w:p>
        </w:tc>
        <w:tc>
          <w:tcPr>
            <w:tcW w:type="dxa" w:w="2268"/>
          </w:tcPr>
          <w:p>
            <w:r>
              <w:rPr>
                <w:sz w:val="20"/>
              </w:rPr>
              <w:t>双原子位点</w:t>
            </w:r>
          </w:p>
        </w:tc>
      </w:tr>
      <w:tr>
        <w:tc>
          <w:tcPr>
            <w:tcW w:type="dxa" w:w="850"/>
          </w:tcPr>
          <w:p>
            <w:r>
              <w:rPr>
                <w:sz w:val="20"/>
              </w:rPr>
              <w:t>2</w:t>
            </w:r>
          </w:p>
        </w:tc>
        <w:tc>
          <w:tcPr>
            <w:tcW w:type="dxa" w:w="2268"/>
          </w:tcPr>
          <w:p>
            <w:r>
              <w:rPr>
                <w:sz w:val="20"/>
              </w:rPr>
              <w:t>双原子位点</w:t>
            </w:r>
          </w:p>
        </w:tc>
        <w:tc>
          <w:tcPr>
            <w:tcW w:type="dxa" w:w="2268"/>
          </w:tcPr>
          <w:p>
            <w:r>
              <w:rPr>
                <w:sz w:val="20"/>
              </w:rPr>
              <w:t>降低中间体转化能垒</w:t>
            </w:r>
          </w:p>
        </w:tc>
        <w:tc>
          <w:tcPr>
            <w:tcW w:type="dxa" w:w="2268"/>
          </w:tcPr>
          <w:p>
            <w:r>
              <w:rPr>
                <w:sz w:val="20"/>
              </w:rPr>
              <w:t>氧还原反应</w:t>
            </w:r>
          </w:p>
        </w:tc>
      </w:tr>
      <w:tr>
        <w:tc>
          <w:tcPr>
            <w:tcW w:type="dxa" w:w="850"/>
          </w:tcPr>
          <w:p>
            <w:r>
              <w:rPr>
                <w:sz w:val="20"/>
              </w:rPr>
              <w:t>3</w:t>
            </w:r>
          </w:p>
        </w:tc>
        <w:tc>
          <w:tcPr>
            <w:tcW w:type="dxa" w:w="2268"/>
          </w:tcPr>
          <w:p>
            <w:r>
              <w:rPr>
                <w:sz w:val="20"/>
              </w:rPr>
              <w:t>氧还原反应</w:t>
            </w:r>
          </w:p>
        </w:tc>
        <w:tc>
          <w:tcPr>
            <w:tcW w:type="dxa" w:w="2268"/>
          </w:tcPr>
          <w:p>
            <w:r>
              <w:rPr>
                <w:sz w:val="20"/>
              </w:rPr>
              <w:t>通过电化学测试量化</w:t>
            </w:r>
          </w:p>
        </w:tc>
        <w:tc>
          <w:tcPr>
            <w:tcW w:type="dxa" w:w="2268"/>
          </w:tcPr>
          <w:p>
            <w:r>
              <w:rPr>
                <w:sz w:val="20"/>
              </w:rPr>
              <w:t>半波电位</w:t>
            </w:r>
          </w:p>
        </w:tc>
      </w:tr>
    </w:tbl>
    <w:p/>
    <w:p>
      <w:r>
        <w:rPr>
          <w:b/>
        </w:rPr>
        <w:t xml:space="preserve">二级总结: </w:t>
      </w:r>
      <w:r/>
    </w:p>
    <w:p>
      <w:pPr>
        <w:pStyle w:val="ListBullet"/>
        <w:ind w:left="850"/>
      </w:pPr>
      <w:r>
        <w:t>通过异核双原子位点的结构设计与电化学测试联动，将催化机理研究转化为可量化的半波电位提升指标</w:t>
      </w:r>
    </w:p>
    <w:p>
      <w:pPr>
        <w:pStyle w:val="ListBullet"/>
        <w:ind w:left="850"/>
      </w:pPr>
      <w:r>
        <w:t>利用锌空气电池系统将催化剂性能验证转化为比容量与功率密度的协同测量，建立从实验室研究到实际应用的桥梁</w:t>
      </w:r>
    </w:p>
    <w:p>
      <w:r>
        <w:rPr>
          <w:b/>
        </w:rPr>
        <w:t xml:space="preserve">三级假设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异核&lt;&gt;2&lt;/&gt;-&lt;&gt;2&lt;/&gt;</w:t>
            </w:r>
          </w:p>
        </w:tc>
        <w:tc>
          <w:tcPr>
            <w:tcW w:type="dxa" w:w="2268"/>
          </w:tcPr>
          <w:p>
            <w:r>
              <w:rPr>
                <w:sz w:val="20"/>
              </w:rPr>
              <w:t>通过结构设计形成</w:t>
            </w:r>
          </w:p>
        </w:tc>
        <w:tc>
          <w:tcPr>
            <w:tcW w:type="dxa" w:w="2268"/>
          </w:tcPr>
          <w:p>
            <w:r>
              <w:rPr>
                <w:sz w:val="20"/>
              </w:rPr>
              <w:t>双原子位点</w:t>
            </w:r>
          </w:p>
        </w:tc>
      </w:tr>
      <w:tr>
        <w:tc>
          <w:tcPr>
            <w:tcW w:type="dxa" w:w="850"/>
          </w:tcPr>
          <w:p>
            <w:r>
              <w:rPr>
                <w:sz w:val="20"/>
              </w:rPr>
              <w:t>2</w:t>
            </w:r>
          </w:p>
        </w:tc>
        <w:tc>
          <w:tcPr>
            <w:tcW w:type="dxa" w:w="2268"/>
          </w:tcPr>
          <w:p>
            <w:r>
              <w:rPr>
                <w:sz w:val="20"/>
              </w:rPr>
              <w:t>双原子位点</w:t>
            </w:r>
          </w:p>
        </w:tc>
        <w:tc>
          <w:tcPr>
            <w:tcW w:type="dxa" w:w="2268"/>
          </w:tcPr>
          <w:p>
            <w:r>
              <w:rPr>
                <w:sz w:val="20"/>
              </w:rPr>
              <w:t>通过协同吸附降低能垒</w:t>
            </w:r>
          </w:p>
        </w:tc>
        <w:tc>
          <w:tcPr>
            <w:tcW w:type="dxa" w:w="2268"/>
          </w:tcPr>
          <w:p>
            <w:r>
              <w:rPr>
                <w:sz w:val="20"/>
              </w:rPr>
              <w:t>氧还原反应</w:t>
            </w:r>
          </w:p>
        </w:tc>
      </w:tr>
      <w:tr>
        <w:tc>
          <w:tcPr>
            <w:tcW w:type="dxa" w:w="850"/>
          </w:tcPr>
          <w:p>
            <w:r>
              <w:rPr>
                <w:sz w:val="20"/>
              </w:rPr>
              <w:t>3</w:t>
            </w:r>
          </w:p>
        </w:tc>
        <w:tc>
          <w:tcPr>
            <w:tcW w:type="dxa" w:w="2268"/>
          </w:tcPr>
          <w:p>
            <w:r>
              <w:rPr>
                <w:sz w:val="20"/>
              </w:rPr>
              <w:t>氧还原反应</w:t>
            </w:r>
          </w:p>
        </w:tc>
        <w:tc>
          <w:tcPr>
            <w:tcW w:type="dxa" w:w="2268"/>
          </w:tcPr>
          <w:p>
            <w:r>
              <w:rPr>
                <w:sz w:val="20"/>
              </w:rPr>
              <w:t>通过电化学测试量化效率</w:t>
            </w:r>
          </w:p>
        </w:tc>
        <w:tc>
          <w:tcPr>
            <w:tcW w:type="dxa" w:w="2268"/>
          </w:tcPr>
          <w:p>
            <w:r>
              <w:rPr>
                <w:sz w:val="20"/>
              </w:rPr>
              <w:t>半波电位</w:t>
            </w:r>
          </w:p>
        </w:tc>
      </w:tr>
    </w:tbl>
    <w:p/>
    <w:p>
      <w:r>
        <w:rPr>
          <w:b/>
        </w:rPr>
        <w:t xml:space="preserve">三级总结: </w:t>
      </w:r>
      <w:r/>
    </w:p>
    <w:p>
      <w:pPr>
        <w:pStyle w:val="ListBullet"/>
        <w:ind w:left="850"/>
      </w:pPr>
      <w:r>
        <w:t>通过异核硒铁位点设计降低氧还原能垒，并用电化学半波电位验证催化效率提升的闭环路径</w:t>
      </w:r>
    </w:p>
    <w:p>
      <w:pPr>
        <w:pStyle w:val="ListBullet"/>
        <w:ind w:left="850"/>
      </w:pPr>
      <w:r>
        <w:t>将双原子催化剂集成至锌空气电池系统，通过比容量与功率密度指标验证实际应用潜力的完整工作流</w:t>
      </w:r>
    </w:p>
    <w:p/>
    <w:p>
      <w:r>
        <w:br w:type="page"/>
      </w:r>
    </w:p>
    <w:p>
      <w:pPr>
        <w:pStyle w:val="Heading1"/>
      </w:pPr>
      <w:r>
        <w:t>七、Stage 2e：知识图谱构建与指标</w:t>
      </w:r>
    </w:p>
    <w:p>
      <w:r>
        <w:t>基于抽取的概念和关系构建知识图谱，计算 15+ 维度的图谱质量指标。</w:t>
      </w:r>
    </w:p>
    <w:p>
      <w:pPr>
        <w:pStyle w:val="Heading2"/>
      </w:pPr>
      <w:r>
        <w:t>7.1 图谱指标样例（3篇）</w:t>
      </w:r>
    </w:p>
    <w:p>
      <w:pPr>
        <w:pStyle w:val="Heading3"/>
      </w:pPr>
      <w:r>
        <w:t>样例 1: MXene-Assisted NiFe sulfides for high-performance anion exchange membrane seawat...</w:t>
      </w:r>
    </w:p>
    <w:p>
      <w:r>
        <w:rPr>
          <w:b/>
        </w:rPr>
        <w:t xml:space="preserve">图谱规模: </w:t>
      </w:r>
      <w:r>
        <w:t>24 个节点, 24 条边</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指标</w:t>
            </w:r>
          </w:p>
        </w:tc>
        <w:tc>
          <w:tcPr>
            <w:tcW w:type="dxa" w:w="2268"/>
          </w:tcPr>
          <w:p>
            <w:pPr>
              <w:jc w:val="center"/>
            </w:pPr>
            <w:r>
              <w:rPr>
                <w:b/>
                <w:sz w:val="20"/>
              </w:rPr>
              <w:t>值</w:t>
            </w:r>
          </w:p>
        </w:tc>
      </w:tr>
      <w:tr>
        <w:tc>
          <w:tcPr>
            <w:tcW w:type="dxa" w:w="3402"/>
          </w:tcPr>
          <w:p>
            <w:r>
              <w:rPr>
                <w:sz w:val="20"/>
              </w:rPr>
              <w:t>path_consistency</w:t>
            </w:r>
          </w:p>
        </w:tc>
        <w:tc>
          <w:tcPr>
            <w:tcW w:type="dxa" w:w="2268"/>
          </w:tcPr>
          <w:p>
            <w:r>
              <w:rPr>
                <w:sz w:val="20"/>
              </w:rPr>
              <w:t>0.0000</w:t>
            </w:r>
          </w:p>
        </w:tc>
      </w:tr>
      <w:tr>
        <w:tc>
          <w:tcPr>
            <w:tcW w:type="dxa" w:w="3402"/>
          </w:tcPr>
          <w:p>
            <w:r>
              <w:rPr>
                <w:sz w:val="20"/>
              </w:rPr>
              <w:t>coverage</w:t>
            </w:r>
          </w:p>
        </w:tc>
        <w:tc>
          <w:tcPr>
            <w:tcW w:type="dxa" w:w="2268"/>
          </w:tcPr>
          <w:p>
            <w:r>
              <w:rPr>
                <w:sz w:val="20"/>
              </w:rPr>
              <w:t>0.3333</w:t>
            </w:r>
          </w:p>
        </w:tc>
      </w:tr>
      <w:tr>
        <w:tc>
          <w:tcPr>
            <w:tcW w:type="dxa" w:w="3402"/>
          </w:tcPr>
          <w:p>
            <w:r>
              <w:rPr>
                <w:sz w:val="20"/>
              </w:rPr>
              <w:t>bridging_score</w:t>
            </w:r>
          </w:p>
        </w:tc>
        <w:tc>
          <w:tcPr>
            <w:tcW w:type="dxa" w:w="2268"/>
          </w:tcPr>
          <w:p>
            <w:r>
              <w:rPr>
                <w:sz w:val="20"/>
              </w:rPr>
              <w:t>0.0000</w:t>
            </w:r>
          </w:p>
        </w:tc>
      </w:tr>
      <w:tr>
        <w:tc>
          <w:tcPr>
            <w:tcW w:type="dxa" w:w="3402"/>
          </w:tcPr>
          <w:p>
            <w:r>
              <w:rPr>
                <w:sz w:val="20"/>
              </w:rPr>
              <w:t>rao_stirling_diversity</w:t>
            </w:r>
          </w:p>
        </w:tc>
        <w:tc>
          <w:tcPr>
            <w:tcW w:type="dxa" w:w="2268"/>
          </w:tcPr>
          <w:p>
            <w:r>
              <w:rPr>
                <w:sz w:val="20"/>
              </w:rPr>
              <w:t>0.0000</w:t>
            </w:r>
          </w:p>
        </w:tc>
      </w:tr>
      <w:tr>
        <w:tc>
          <w:tcPr>
            <w:tcW w:type="dxa" w:w="3402"/>
          </w:tcPr>
          <w:p>
            <w:r>
              <w:rPr>
                <w:sz w:val="20"/>
              </w:rPr>
              <w:t>embedding_bridging</w:t>
            </w:r>
          </w:p>
        </w:tc>
        <w:tc>
          <w:tcPr>
            <w:tcW w:type="dxa" w:w="2268"/>
          </w:tcPr>
          <w:p>
            <w:r>
              <w:rPr>
                <w:sz w:val="20"/>
              </w:rPr>
              <w:t>1.0000</w:t>
            </w:r>
          </w:p>
        </w:tc>
      </w:tr>
      <w:tr>
        <w:tc>
          <w:tcPr>
            <w:tcW w:type="dxa" w:w="3402"/>
          </w:tcPr>
          <w:p>
            <w:r>
              <w:rPr>
                <w:sz w:val="20"/>
              </w:rPr>
              <w:t>consistency_precision</w:t>
            </w:r>
          </w:p>
        </w:tc>
        <w:tc>
          <w:tcPr>
            <w:tcW w:type="dxa" w:w="2268"/>
          </w:tcPr>
          <w:p>
            <w:r>
              <w:rPr>
                <w:sz w:val="20"/>
              </w:rPr>
              <w:t>0.0000</w:t>
            </w:r>
          </w:p>
        </w:tc>
      </w:tr>
      <w:tr>
        <w:tc>
          <w:tcPr>
            <w:tcW w:type="dxa" w:w="3402"/>
          </w:tcPr>
          <w:p>
            <w:r>
              <w:rPr>
                <w:sz w:val="20"/>
              </w:rPr>
              <w:t>consistency_recall</w:t>
            </w:r>
          </w:p>
        </w:tc>
        <w:tc>
          <w:tcPr>
            <w:tcW w:type="dxa" w:w="2268"/>
          </w:tcPr>
          <w:p>
            <w:r>
              <w:rPr>
                <w:sz w:val="20"/>
              </w:rPr>
              <w:t>0.0000</w:t>
            </w:r>
          </w:p>
        </w:tc>
      </w:tr>
      <w:tr>
        <w:tc>
          <w:tcPr>
            <w:tcW w:type="dxa" w:w="3402"/>
          </w:tcPr>
          <w:p>
            <w:r>
              <w:rPr>
                <w:sz w:val="20"/>
              </w:rPr>
              <w:t>consistency_f1</w:t>
            </w:r>
          </w:p>
        </w:tc>
        <w:tc>
          <w:tcPr>
            <w:tcW w:type="dxa" w:w="2268"/>
          </w:tcPr>
          <w:p>
            <w:r>
              <w:rPr>
                <w:sz w:val="20"/>
              </w:rPr>
              <w:t>0.0000</w:t>
            </w:r>
          </w:p>
        </w:tc>
      </w:tr>
    </w:tbl>
    <w:p/>
    <w:p/>
    <w:p>
      <w:pPr>
        <w:pStyle w:val="Heading3"/>
      </w:pPr>
      <w:r>
        <w:t>样例 2: Leaf-based energy harvesting and storage utilizing hygroscopic iron hydrogel for...</w:t>
      </w:r>
    </w:p>
    <w:p>
      <w:r>
        <w:rPr>
          <w:b/>
        </w:rPr>
        <w:t xml:space="preserve">图谱规模: </w:t>
      </w:r>
      <w:r>
        <w:t>9 个节点, 25 条边</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指标</w:t>
            </w:r>
          </w:p>
        </w:tc>
        <w:tc>
          <w:tcPr>
            <w:tcW w:type="dxa" w:w="2268"/>
          </w:tcPr>
          <w:p>
            <w:pPr>
              <w:jc w:val="center"/>
            </w:pPr>
            <w:r>
              <w:rPr>
                <w:b/>
                <w:sz w:val="20"/>
              </w:rPr>
              <w:t>值</w:t>
            </w:r>
          </w:p>
        </w:tc>
      </w:tr>
      <w:tr>
        <w:tc>
          <w:tcPr>
            <w:tcW w:type="dxa" w:w="3402"/>
          </w:tcPr>
          <w:p>
            <w:r>
              <w:rPr>
                <w:sz w:val="20"/>
              </w:rPr>
              <w:t>path_consistency</w:t>
            </w:r>
          </w:p>
        </w:tc>
        <w:tc>
          <w:tcPr>
            <w:tcW w:type="dxa" w:w="2268"/>
          </w:tcPr>
          <w:p>
            <w:r>
              <w:rPr>
                <w:sz w:val="20"/>
              </w:rPr>
              <w:t>0.8333</w:t>
            </w:r>
          </w:p>
        </w:tc>
      </w:tr>
      <w:tr>
        <w:tc>
          <w:tcPr>
            <w:tcW w:type="dxa" w:w="3402"/>
          </w:tcPr>
          <w:p>
            <w:r>
              <w:rPr>
                <w:sz w:val="20"/>
              </w:rPr>
              <w:t>coverage</w:t>
            </w:r>
          </w:p>
        </w:tc>
        <w:tc>
          <w:tcPr>
            <w:tcW w:type="dxa" w:w="2268"/>
          </w:tcPr>
          <w:p>
            <w:r>
              <w:rPr>
                <w:sz w:val="20"/>
              </w:rPr>
              <w:t>1.0000</w:t>
            </w:r>
          </w:p>
        </w:tc>
      </w:tr>
      <w:tr>
        <w:tc>
          <w:tcPr>
            <w:tcW w:type="dxa" w:w="3402"/>
          </w:tcPr>
          <w:p>
            <w:r>
              <w:rPr>
                <w:sz w:val="20"/>
              </w:rPr>
              <w:t>bridging_score</w:t>
            </w:r>
          </w:p>
        </w:tc>
        <w:tc>
          <w:tcPr>
            <w:tcW w:type="dxa" w:w="2268"/>
          </w:tcPr>
          <w:p>
            <w:r>
              <w:rPr>
                <w:sz w:val="20"/>
              </w:rPr>
              <w:t>0.0000</w:t>
            </w:r>
          </w:p>
        </w:tc>
      </w:tr>
      <w:tr>
        <w:tc>
          <w:tcPr>
            <w:tcW w:type="dxa" w:w="3402"/>
          </w:tcPr>
          <w:p>
            <w:r>
              <w:rPr>
                <w:sz w:val="20"/>
              </w:rPr>
              <w:t>rao_stirling_diversity</w:t>
            </w:r>
          </w:p>
        </w:tc>
        <w:tc>
          <w:tcPr>
            <w:tcW w:type="dxa" w:w="2268"/>
          </w:tcPr>
          <w:p>
            <w:r>
              <w:rPr>
                <w:sz w:val="20"/>
              </w:rPr>
              <w:t>0.0000</w:t>
            </w:r>
          </w:p>
        </w:tc>
      </w:tr>
      <w:tr>
        <w:tc>
          <w:tcPr>
            <w:tcW w:type="dxa" w:w="3402"/>
          </w:tcPr>
          <w:p>
            <w:r>
              <w:rPr>
                <w:sz w:val="20"/>
              </w:rPr>
              <w:t>embedding_bridging</w:t>
            </w:r>
          </w:p>
        </w:tc>
        <w:tc>
          <w:tcPr>
            <w:tcW w:type="dxa" w:w="2268"/>
          </w:tcPr>
          <w:p>
            <w:r>
              <w:rPr>
                <w:sz w:val="20"/>
              </w:rPr>
              <w:t>1.0000</w:t>
            </w:r>
          </w:p>
        </w:tc>
      </w:tr>
      <w:tr>
        <w:tc>
          <w:tcPr>
            <w:tcW w:type="dxa" w:w="3402"/>
          </w:tcPr>
          <w:p>
            <w:r>
              <w:rPr>
                <w:sz w:val="20"/>
              </w:rPr>
              <w:t>consistency_precision</w:t>
            </w:r>
          </w:p>
        </w:tc>
        <w:tc>
          <w:tcPr>
            <w:tcW w:type="dxa" w:w="2268"/>
          </w:tcPr>
          <w:p>
            <w:r>
              <w:rPr>
                <w:sz w:val="20"/>
              </w:rPr>
              <w:t>0.0000</w:t>
            </w:r>
          </w:p>
        </w:tc>
      </w:tr>
      <w:tr>
        <w:tc>
          <w:tcPr>
            <w:tcW w:type="dxa" w:w="3402"/>
          </w:tcPr>
          <w:p>
            <w:r>
              <w:rPr>
                <w:sz w:val="20"/>
              </w:rPr>
              <w:t>consistency_recall</w:t>
            </w:r>
          </w:p>
        </w:tc>
        <w:tc>
          <w:tcPr>
            <w:tcW w:type="dxa" w:w="2268"/>
          </w:tcPr>
          <w:p>
            <w:r>
              <w:rPr>
                <w:sz w:val="20"/>
              </w:rPr>
              <w:t>0.0000</w:t>
            </w:r>
          </w:p>
        </w:tc>
      </w:tr>
      <w:tr>
        <w:tc>
          <w:tcPr>
            <w:tcW w:type="dxa" w:w="3402"/>
          </w:tcPr>
          <w:p>
            <w:r>
              <w:rPr>
                <w:sz w:val="20"/>
              </w:rPr>
              <w:t>consistency_f1</w:t>
            </w:r>
          </w:p>
        </w:tc>
        <w:tc>
          <w:tcPr>
            <w:tcW w:type="dxa" w:w="2268"/>
          </w:tcPr>
          <w:p>
            <w:r>
              <w:rPr>
                <w:sz w:val="20"/>
              </w:rPr>
              <w:t>0.0000</w:t>
            </w:r>
          </w:p>
        </w:tc>
      </w:tr>
    </w:tbl>
    <w:p/>
    <w:p/>
    <w:p>
      <w:pPr>
        <w:pStyle w:val="Heading3"/>
      </w:pPr>
      <w:r>
        <w:t>样例 3: Precisely designing asymmetrical selenium-based dual-atom sites for efficient ox...</w:t>
      </w:r>
    </w:p>
    <w:p>
      <w:r>
        <w:rPr>
          <w:b/>
        </w:rPr>
        <w:t xml:space="preserve">图谱规模: </w:t>
      </w:r>
      <w:r>
        <w:t>16 个节点, 25 条边</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指标</w:t>
            </w:r>
          </w:p>
        </w:tc>
        <w:tc>
          <w:tcPr>
            <w:tcW w:type="dxa" w:w="2268"/>
          </w:tcPr>
          <w:p>
            <w:pPr>
              <w:jc w:val="center"/>
            </w:pPr>
            <w:r>
              <w:rPr>
                <w:b/>
                <w:sz w:val="20"/>
              </w:rPr>
              <w:t>值</w:t>
            </w:r>
          </w:p>
        </w:tc>
      </w:tr>
      <w:tr>
        <w:tc>
          <w:tcPr>
            <w:tcW w:type="dxa" w:w="3402"/>
          </w:tcPr>
          <w:p>
            <w:r>
              <w:rPr>
                <w:sz w:val="20"/>
              </w:rPr>
              <w:t>path_consistency</w:t>
            </w:r>
          </w:p>
        </w:tc>
        <w:tc>
          <w:tcPr>
            <w:tcW w:type="dxa" w:w="2268"/>
          </w:tcPr>
          <w:p>
            <w:r>
              <w:rPr>
                <w:sz w:val="20"/>
              </w:rPr>
              <w:t>0.0556</w:t>
            </w:r>
          </w:p>
        </w:tc>
      </w:tr>
      <w:tr>
        <w:tc>
          <w:tcPr>
            <w:tcW w:type="dxa" w:w="3402"/>
          </w:tcPr>
          <w:p>
            <w:r>
              <w:rPr>
                <w:sz w:val="20"/>
              </w:rPr>
              <w:t>coverage</w:t>
            </w:r>
          </w:p>
        </w:tc>
        <w:tc>
          <w:tcPr>
            <w:tcW w:type="dxa" w:w="2268"/>
          </w:tcPr>
          <w:p>
            <w:r>
              <w:rPr>
                <w:sz w:val="20"/>
              </w:rPr>
              <w:t>0.6000</w:t>
            </w:r>
          </w:p>
        </w:tc>
      </w:tr>
      <w:tr>
        <w:tc>
          <w:tcPr>
            <w:tcW w:type="dxa" w:w="3402"/>
          </w:tcPr>
          <w:p>
            <w:r>
              <w:rPr>
                <w:sz w:val="20"/>
              </w:rPr>
              <w:t>bridging_score</w:t>
            </w:r>
          </w:p>
        </w:tc>
        <w:tc>
          <w:tcPr>
            <w:tcW w:type="dxa" w:w="2268"/>
          </w:tcPr>
          <w:p>
            <w:r>
              <w:rPr>
                <w:sz w:val="20"/>
              </w:rPr>
              <w:t>0.0000</w:t>
            </w:r>
          </w:p>
        </w:tc>
      </w:tr>
      <w:tr>
        <w:tc>
          <w:tcPr>
            <w:tcW w:type="dxa" w:w="3402"/>
          </w:tcPr>
          <w:p>
            <w:r>
              <w:rPr>
                <w:sz w:val="20"/>
              </w:rPr>
              <w:t>rao_stirling_diversity</w:t>
            </w:r>
          </w:p>
        </w:tc>
        <w:tc>
          <w:tcPr>
            <w:tcW w:type="dxa" w:w="2268"/>
          </w:tcPr>
          <w:p>
            <w:r>
              <w:rPr>
                <w:sz w:val="20"/>
              </w:rPr>
              <w:t>0.0000</w:t>
            </w:r>
          </w:p>
        </w:tc>
      </w:tr>
      <w:tr>
        <w:tc>
          <w:tcPr>
            <w:tcW w:type="dxa" w:w="3402"/>
          </w:tcPr>
          <w:p>
            <w:r>
              <w:rPr>
                <w:sz w:val="20"/>
              </w:rPr>
              <w:t>embedding_bridging</w:t>
            </w:r>
          </w:p>
        </w:tc>
        <w:tc>
          <w:tcPr>
            <w:tcW w:type="dxa" w:w="2268"/>
          </w:tcPr>
          <w:p>
            <w:r>
              <w:rPr>
                <w:sz w:val="20"/>
              </w:rPr>
              <w:t>1.0000</w:t>
            </w:r>
          </w:p>
        </w:tc>
      </w:tr>
      <w:tr>
        <w:tc>
          <w:tcPr>
            <w:tcW w:type="dxa" w:w="3402"/>
          </w:tcPr>
          <w:p>
            <w:r>
              <w:rPr>
                <w:sz w:val="20"/>
              </w:rPr>
              <w:t>consistency_precision</w:t>
            </w:r>
          </w:p>
        </w:tc>
        <w:tc>
          <w:tcPr>
            <w:tcW w:type="dxa" w:w="2268"/>
          </w:tcPr>
          <w:p>
            <w:r>
              <w:rPr>
                <w:sz w:val="20"/>
              </w:rPr>
              <w:t>0.0000</w:t>
            </w:r>
          </w:p>
        </w:tc>
      </w:tr>
      <w:tr>
        <w:tc>
          <w:tcPr>
            <w:tcW w:type="dxa" w:w="3402"/>
          </w:tcPr>
          <w:p>
            <w:r>
              <w:rPr>
                <w:sz w:val="20"/>
              </w:rPr>
              <w:t>consistency_recall</w:t>
            </w:r>
          </w:p>
        </w:tc>
        <w:tc>
          <w:tcPr>
            <w:tcW w:type="dxa" w:w="2268"/>
          </w:tcPr>
          <w:p>
            <w:r>
              <w:rPr>
                <w:sz w:val="20"/>
              </w:rPr>
              <w:t>0.0000</w:t>
            </w:r>
          </w:p>
        </w:tc>
      </w:tr>
      <w:tr>
        <w:tc>
          <w:tcPr>
            <w:tcW w:type="dxa" w:w="3402"/>
          </w:tcPr>
          <w:p>
            <w:r>
              <w:rPr>
                <w:sz w:val="20"/>
              </w:rPr>
              <w:t>consistency_f1</w:t>
            </w:r>
          </w:p>
        </w:tc>
        <w:tc>
          <w:tcPr>
            <w:tcW w:type="dxa" w:w="2268"/>
          </w:tcPr>
          <w:p>
            <w:r>
              <w:rPr>
                <w:sz w:val="20"/>
              </w:rPr>
              <w:t>0.0000</w:t>
            </w:r>
          </w:p>
        </w:tc>
      </w:tr>
    </w:tbl>
    <w:p/>
    <w:p/>
    <w:p>
      <w:r>
        <w:br w:type="page"/>
      </w:r>
    </w:p>
    <w:p>
      <w:pPr>
        <w:pStyle w:val="Heading1"/>
      </w:pPr>
      <w:r>
        <w:t>八、Stage 3：Benchmark GT 数据集构建</w:t>
      </w:r>
    </w:p>
    <w:p>
      <w:r>
        <w:t>从抽取结果中构建 Evidence-Grounded 的 Ground Truth 数据集，用于后续评测。GT 包含术语、关系和跨学科路径。</w:t>
      </w:r>
    </w:p>
    <w:p>
      <w:pPr>
        <w:pStyle w:val="Heading2"/>
      </w:pPr>
      <w:r>
        <w:t>8.1 GT 样例（3条）</w:t>
      </w:r>
    </w:p>
    <w:p>
      <w:pPr>
        <w:pStyle w:val="Heading3"/>
      </w:pPr>
      <w:r>
        <w:t>样例 1</w:t>
      </w:r>
    </w:p>
    <w:p>
      <w:r>
        <w:rPr>
          <w:b/>
        </w:rPr>
        <w:t xml:space="preserve">标题: </w:t>
      </w:r>
      <w:r>
        <w:t>MXene-Assisted NiFe sulfides for high-performance anion exchange membrane seawater electrolysis</w:t>
      </w:r>
    </w:p>
    <w:p>
      <w:r>
        <w:rPr>
          <w:b/>
        </w:rPr>
        <w:t xml:space="preserve">主学科: </w:t>
      </w:r>
      <w:r>
        <w:t>化学</w:t>
      </w:r>
    </w:p>
    <w:p>
      <w:r>
        <w:rPr>
          <w:b/>
        </w:rPr>
        <w:t xml:space="preserve">辅学科: </w:t>
      </w:r>
      <w:r/>
    </w:p>
    <w:p>
      <w:r>
        <w:rPr>
          <w:b/>
        </w:rPr>
        <w:t xml:space="preserve">GT 术语数: </w:t>
      </w:r>
      <w:r>
        <w:t>12</w:t>
      </w:r>
    </w:p>
    <w:p>
      <w:r>
        <w:rPr>
          <w:b/>
        </w:rPr>
        <w:t xml:space="preserve">GT 关系数: </w:t>
      </w:r>
      <w:r>
        <w:t>2</w:t>
      </w:r>
    </w:p>
    <w:p>
      <w:r>
        <w:rPr>
          <w:b/>
        </w:rPr>
        <w:t xml:space="preserve">GT 路径数: </w:t>
      </w:r>
      <w:r>
        <w:t>0</w:t>
      </w:r>
    </w:p>
    <w:p/>
    <w:p>
      <w:pPr>
        <w:pStyle w:val="Heading3"/>
      </w:pPr>
      <w:r>
        <w:t>样例 2</w:t>
      </w:r>
    </w:p>
    <w:p>
      <w:r>
        <w:rPr>
          <w:b/>
        </w:rPr>
        <w:t xml:space="preserve">标题: </w:t>
      </w:r>
      <w:r>
        <w:t>Leaf-based energy harvesting and storage utilizing hygroscopic iron hydrogel for continuous power generation</w:t>
      </w:r>
    </w:p>
    <w:p>
      <w:r>
        <w:rPr>
          <w:b/>
        </w:rPr>
        <w:t xml:space="preserve">主学科: </w:t>
      </w:r>
      <w:r>
        <w:t>材料科学</w:t>
      </w:r>
    </w:p>
    <w:p>
      <w:r>
        <w:rPr>
          <w:b/>
        </w:rPr>
        <w:t xml:space="preserve">辅学科: </w:t>
      </w:r>
      <w:r/>
    </w:p>
    <w:p>
      <w:r>
        <w:rPr>
          <w:b/>
        </w:rPr>
        <w:t xml:space="preserve">GT 术语数: </w:t>
      </w:r>
      <w:r>
        <w:t>9</w:t>
      </w:r>
    </w:p>
    <w:p>
      <w:r>
        <w:rPr>
          <w:b/>
        </w:rPr>
        <w:t xml:space="preserve">GT 关系数: </w:t>
      </w:r>
      <w:r>
        <w:t>13</w:t>
      </w:r>
    </w:p>
    <w:p>
      <w:r>
        <w:rPr>
          <w:b/>
        </w:rPr>
        <w:t xml:space="preserve">GT 路径数: </w:t>
      </w:r>
      <w:r>
        <w:t>0</w:t>
      </w:r>
    </w:p>
    <w:p/>
    <w:p>
      <w:pPr>
        <w:pStyle w:val="Heading3"/>
      </w:pPr>
      <w:r>
        <w:t>样例 3</w:t>
      </w:r>
    </w:p>
    <w:p>
      <w:r>
        <w:rPr>
          <w:b/>
        </w:rPr>
        <w:t xml:space="preserve">标题: </w:t>
      </w:r>
      <w:r>
        <w:t>Precisely designing asymmetrical selenium-based dual-atom sites for efficient oxygen reduction</w:t>
      </w:r>
    </w:p>
    <w:p>
      <w:r>
        <w:rPr>
          <w:b/>
        </w:rPr>
        <w:t xml:space="preserve">主学科: </w:t>
      </w:r>
      <w:r>
        <w:t>化学</w:t>
      </w:r>
    </w:p>
    <w:p>
      <w:r>
        <w:rPr>
          <w:b/>
        </w:rPr>
        <w:t xml:space="preserve">辅学科: </w:t>
      </w:r>
      <w:r/>
    </w:p>
    <w:p>
      <w:r>
        <w:rPr>
          <w:b/>
        </w:rPr>
        <w:t xml:space="preserve">GT 术语数: </w:t>
      </w:r>
      <w:r>
        <w:t>10</w:t>
      </w:r>
    </w:p>
    <w:p>
      <w:r>
        <w:rPr>
          <w:b/>
        </w:rPr>
        <w:t xml:space="preserve">GT 关系数: </w:t>
      </w:r>
      <w:r>
        <w:t>4</w:t>
      </w:r>
    </w:p>
    <w:p>
      <w:r>
        <w:rPr>
          <w:b/>
        </w:rPr>
        <w:t xml:space="preserve">GT 路径数: </w:t>
      </w:r>
      <w:r>
        <w:t>0</w:t>
      </w:r>
    </w:p>
    <w:p/>
    <w:p>
      <w:r>
        <w:br w:type="page"/>
      </w:r>
    </w:p>
    <w:p>
      <w:pPr>
        <w:pStyle w:val="Heading1"/>
      </w:pPr>
      <w:r>
        <w:t>九、Stage 4：P1-P5 五级 Prompt 消融实验</w:t>
      </w:r>
    </w:p>
    <w:p>
      <w:r>
        <w:t>对测试集论文，分别使用 P1-P5 五种不同信息量的 Prompt 生成假设，用于评估不同引导程度对跨学科假设生成质量的影响。</w:t>
      </w:r>
    </w:p>
    <w:p>
      <w:pPr>
        <w:pStyle w:val="Heading2"/>
      </w:pPr>
      <w:r>
        <w:t>9.1 P1-P5 级别说明</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850"/>
          </w:tcPr>
          <w:p>
            <w:pPr>
              <w:jc w:val="center"/>
            </w:pPr>
            <w:r>
              <w:rPr>
                <w:b/>
                <w:sz w:val="20"/>
              </w:rPr>
              <w:t>级别</w:t>
            </w:r>
          </w:p>
        </w:tc>
        <w:tc>
          <w:tcPr>
            <w:tcW w:type="dxa" w:w="1417"/>
          </w:tcPr>
          <w:p>
            <w:pPr>
              <w:jc w:val="center"/>
            </w:pPr>
            <w:r>
              <w:rPr>
                <w:b/>
                <w:sz w:val="20"/>
              </w:rPr>
              <w:t>Query</w:t>
            </w:r>
          </w:p>
        </w:tc>
        <w:tc>
          <w:tcPr>
            <w:tcW w:type="dxa" w:w="1984"/>
          </w:tcPr>
          <w:p>
            <w:pPr>
              <w:jc w:val="center"/>
            </w:pPr>
            <w:r>
              <w:rPr>
                <w:b/>
                <w:sz w:val="20"/>
              </w:rPr>
              <w:t>论文信息</w:t>
            </w:r>
          </w:p>
        </w:tc>
        <w:tc>
          <w:tcPr>
            <w:tcW w:type="dxa" w:w="1984"/>
          </w:tcPr>
          <w:p>
            <w:pPr>
              <w:jc w:val="center"/>
            </w:pPr>
            <w:r>
              <w:rPr>
                <w:b/>
                <w:sz w:val="20"/>
              </w:rPr>
              <w:t>结构化知识</w:t>
            </w:r>
          </w:p>
        </w:tc>
        <w:tc>
          <w:tcPr>
            <w:tcW w:type="dxa" w:w="1701"/>
          </w:tcPr>
          <w:p>
            <w:pPr>
              <w:jc w:val="center"/>
            </w:pPr>
            <w:r>
              <w:rPr>
                <w:b/>
                <w:sz w:val="20"/>
              </w:rPr>
              <w:t>格式</w:t>
            </w:r>
          </w:p>
        </w:tc>
      </w:tr>
      <w:tr>
        <w:tc>
          <w:tcPr>
            <w:tcW w:type="dxa" w:w="850"/>
          </w:tcPr>
          <w:p>
            <w:r>
              <w:rPr>
                <w:sz w:val="20"/>
              </w:rPr>
              <w:t>P1</w:t>
            </w:r>
          </w:p>
        </w:tc>
        <w:tc>
          <w:tcPr>
            <w:tcW w:type="dxa" w:w="1417"/>
          </w:tcPr>
          <w:p>
            <w:r>
              <w:rPr>
                <w:sz w:val="20"/>
              </w:rPr>
              <w:t>L1 only</w:t>
            </w:r>
          </w:p>
        </w:tc>
        <w:tc>
          <w:tcPr>
            <w:tcW w:type="dxa" w:w="1984"/>
          </w:tcPr>
          <w:p>
            <w:r>
              <w:rPr>
                <w:sz w:val="20"/>
              </w:rPr>
              <w:t>无</w:t>
            </w:r>
          </w:p>
        </w:tc>
        <w:tc>
          <w:tcPr>
            <w:tcW w:type="dxa" w:w="1984"/>
          </w:tcPr>
          <w:p>
            <w:r>
              <w:rPr>
                <w:sz w:val="20"/>
              </w:rPr>
              <w:t>无</w:t>
            </w:r>
          </w:p>
        </w:tc>
        <w:tc>
          <w:tcPr>
            <w:tcW w:type="dxa" w:w="1701"/>
          </w:tcPr>
          <w:p>
            <w:r>
              <w:rPr>
                <w:sz w:val="20"/>
              </w:rPr>
              <w:t>自由文本</w:t>
            </w:r>
          </w:p>
        </w:tc>
      </w:tr>
      <w:tr>
        <w:tc>
          <w:tcPr>
            <w:tcW w:type="dxa" w:w="850"/>
          </w:tcPr>
          <w:p>
            <w:r>
              <w:rPr>
                <w:sz w:val="20"/>
              </w:rPr>
              <w:t>P2</w:t>
            </w:r>
          </w:p>
        </w:tc>
        <w:tc>
          <w:tcPr>
            <w:tcW w:type="dxa" w:w="1417"/>
          </w:tcPr>
          <w:p>
            <w:r>
              <w:rPr>
                <w:sz w:val="20"/>
              </w:rPr>
              <w:t>L1 + L2</w:t>
            </w:r>
          </w:p>
        </w:tc>
        <w:tc>
          <w:tcPr>
            <w:tcW w:type="dxa" w:w="1984"/>
          </w:tcPr>
          <w:p>
            <w:r>
              <w:rPr>
                <w:sz w:val="20"/>
              </w:rPr>
              <w:t>abstract + 学科角色</w:t>
            </w:r>
          </w:p>
        </w:tc>
        <w:tc>
          <w:tcPr>
            <w:tcW w:type="dxa" w:w="1984"/>
          </w:tcPr>
          <w:p>
            <w:r>
              <w:rPr>
                <w:sz w:val="20"/>
              </w:rPr>
              <w:t>无</w:t>
            </w:r>
          </w:p>
        </w:tc>
        <w:tc>
          <w:tcPr>
            <w:tcW w:type="dxa" w:w="1701"/>
          </w:tcPr>
          <w:p>
            <w:r>
              <w:rPr>
                <w:sz w:val="20"/>
              </w:rPr>
              <w:t>自由文本</w:t>
            </w:r>
          </w:p>
        </w:tc>
      </w:tr>
      <w:tr>
        <w:tc>
          <w:tcPr>
            <w:tcW w:type="dxa" w:w="850"/>
          </w:tcPr>
          <w:p>
            <w:r>
              <w:rPr>
                <w:sz w:val="20"/>
              </w:rPr>
              <w:t>P3</w:t>
            </w:r>
          </w:p>
        </w:tc>
        <w:tc>
          <w:tcPr>
            <w:tcW w:type="dxa" w:w="1417"/>
          </w:tcPr>
          <w:p>
            <w:r>
              <w:rPr>
                <w:sz w:val="20"/>
              </w:rPr>
              <w:t>L1+L2+L3</w:t>
            </w:r>
          </w:p>
        </w:tc>
        <w:tc>
          <w:tcPr>
            <w:tcW w:type="dxa" w:w="1984"/>
          </w:tcPr>
          <w:p>
            <w:r>
              <w:rPr>
                <w:sz w:val="20"/>
              </w:rPr>
              <w:t>abstract + 学科角色</w:t>
            </w:r>
          </w:p>
        </w:tc>
        <w:tc>
          <w:tcPr>
            <w:tcW w:type="dxa" w:w="1984"/>
          </w:tcPr>
          <w:p>
            <w:r>
              <w:rPr>
                <w:sz w:val="20"/>
              </w:rPr>
              <w:t>概念列表</w:t>
            </w:r>
          </w:p>
        </w:tc>
        <w:tc>
          <w:tcPr>
            <w:tcW w:type="dxa" w:w="1701"/>
          </w:tcPr>
          <w:p>
            <w:r>
              <w:rPr>
                <w:sz w:val="20"/>
              </w:rPr>
              <w:t>半结构化</w:t>
            </w:r>
          </w:p>
        </w:tc>
      </w:tr>
      <w:tr>
        <w:tc>
          <w:tcPr>
            <w:tcW w:type="dxa" w:w="850"/>
          </w:tcPr>
          <w:p>
            <w:r>
              <w:rPr>
                <w:sz w:val="20"/>
              </w:rPr>
              <w:t>P4</w:t>
            </w:r>
          </w:p>
        </w:tc>
        <w:tc>
          <w:tcPr>
            <w:tcW w:type="dxa" w:w="1417"/>
          </w:tcPr>
          <w:p>
            <w:r>
              <w:rPr>
                <w:sz w:val="20"/>
              </w:rPr>
              <w:t>L1+L2+L3</w:t>
            </w:r>
          </w:p>
        </w:tc>
        <w:tc>
          <w:tcPr>
            <w:tcW w:type="dxa" w:w="1984"/>
          </w:tcPr>
          <w:p>
            <w:r>
              <w:rPr>
                <w:sz w:val="20"/>
              </w:rPr>
              <w:t>abstract + 学科角色</w:t>
            </w:r>
          </w:p>
        </w:tc>
        <w:tc>
          <w:tcPr>
            <w:tcW w:type="dxa" w:w="1984"/>
          </w:tcPr>
          <w:p>
            <w:r>
              <w:rPr>
                <w:sz w:val="20"/>
              </w:rPr>
              <w:t>概念 + 关系</w:t>
            </w:r>
          </w:p>
        </w:tc>
        <w:tc>
          <w:tcPr>
            <w:tcW w:type="dxa" w:w="1701"/>
          </w:tcPr>
          <w:p>
            <w:r>
              <w:rPr>
                <w:sz w:val="20"/>
              </w:rPr>
              <w:t>半结构化</w:t>
            </w:r>
          </w:p>
        </w:tc>
      </w:tr>
      <w:tr>
        <w:tc>
          <w:tcPr>
            <w:tcW w:type="dxa" w:w="850"/>
          </w:tcPr>
          <w:p>
            <w:r>
              <w:rPr>
                <w:sz w:val="20"/>
              </w:rPr>
              <w:t>P5</w:t>
            </w:r>
          </w:p>
        </w:tc>
        <w:tc>
          <w:tcPr>
            <w:tcW w:type="dxa" w:w="1417"/>
          </w:tcPr>
          <w:p>
            <w:r>
              <w:rPr>
                <w:sz w:val="20"/>
              </w:rPr>
              <w:t>L1+L2+L3</w:t>
            </w:r>
          </w:p>
        </w:tc>
        <w:tc>
          <w:tcPr>
            <w:tcW w:type="dxa" w:w="1984"/>
          </w:tcPr>
          <w:p>
            <w:r>
              <w:rPr>
                <w:sz w:val="20"/>
              </w:rPr>
              <w:t>完整结构化摘要</w:t>
            </w:r>
          </w:p>
        </w:tc>
        <w:tc>
          <w:tcPr>
            <w:tcW w:type="dxa" w:w="1984"/>
          </w:tcPr>
          <w:p>
            <w:r>
              <w:rPr>
                <w:sz w:val="20"/>
              </w:rPr>
              <w:t>概念+关系+路径</w:t>
            </w:r>
          </w:p>
        </w:tc>
        <w:tc>
          <w:tcPr>
            <w:tcW w:type="dxa" w:w="1701"/>
          </w:tcPr>
          <w:p>
            <w:r>
              <w:rPr>
                <w:sz w:val="20"/>
              </w:rPr>
              <w:t>3-step 路径</w:t>
            </w:r>
          </w:p>
        </w:tc>
      </w:tr>
    </w:tbl>
    <w:p/>
    <w:p>
      <w:pPr>
        <w:pStyle w:val="Heading2"/>
      </w:pPr>
      <w:r>
        <w:t>9.2 P1-P5 生成样例</w:t>
      </w:r>
    </w:p>
    <w:p>
      <w:pPr>
        <w:pStyle w:val="Heading3"/>
      </w:pPr>
      <w:r>
        <w:t>P1 样例</w:t>
      </w:r>
    </w:p>
    <w:p>
      <w:r>
        <w:rPr>
          <w:b/>
        </w:rPr>
        <w:t xml:space="preserve">论文: </w:t>
      </w:r>
      <w:r>
        <w:t>3D-printed aberration-free terahertz metalens for ultra-broadband achromatic super-resolution wide-a...</w:t>
      </w:r>
    </w:p>
    <w:p>
      <w:r>
        <w:rPr>
          <w:b/>
        </w:rPr>
        <w:t xml:space="preserve">主学科: </w:t>
      </w:r>
      <w:r>
        <w:t>物理学</w:t>
      </w:r>
    </w:p>
    <w:p>
      <w:r>
        <w:rPr>
          <w:b/>
        </w:rPr>
        <w:t xml:space="preserve">耗时: </w:t>
      </w:r>
      <w:r>
        <w:t>5.5 秒</w:t>
      </w:r>
    </w:p>
    <w:p>
      <w:r>
        <w:rPr>
          <w:b/>
        </w:rPr>
        <w:t xml:space="preserve">生成假设: </w:t>
      </w:r>
      <w:r/>
    </w:p>
    <w:p>
      <w:pPr>
        <w:spacing w:before="0" w:after="0" w:line="276" w:lineRule="auto"/>
        <w:ind w:left="567"/>
      </w:pPr>
      <w:r>
        <w:rPr>
          <w:rFonts w:ascii="Consolas" w:hAnsi="Consolas"/>
          <w:color w:val="2D2D2D"/>
          <w:sz w:val="18"/>
          <w:shd w:val="clear" w:color="auto" w:fill="F2F2F2"/>
        </w:rPr>
        <w:t xml:space="preserve">**Hypothesis:**  </w:t>
      </w:r>
    </w:p>
    <w:p>
      <w:pPr>
        <w:spacing w:before="0" w:after="0" w:line="276" w:lineRule="auto"/>
        <w:ind w:left="567"/>
      </w:pPr>
      <w:r>
        <w:rPr>
          <w:rFonts w:ascii="Consolas" w:hAnsi="Consolas"/>
          <w:color w:val="2D2D2D"/>
          <w:sz w:val="18"/>
          <w:shd w:val="clear" w:color="auto" w:fill="F2F2F2"/>
        </w:rPr>
        <w:t>By integrating a multi-layer metasurface architecture with spatially varying subwavelength structures and gradient-index materials, we can achieve an achromatic terahertz metalens that simultaneously exhibits ultra-high numerical aperture (&gt;0.9) and large field-of-view (&gt;60°) through precise dispersion engineering and phase compensation. The key innovation lies in optimizing the geometric phase and propagation phase coupling across anisotropic unit cells, enabling broadband aberration correction while maintaining diffraction-limited focusing efficiency (&gt;80%) across the 0.5–3 THz range. This approach will outperform conventional single-layer designs by decoupling the trade-off between numerical aperture and field-of-view via localized wavefront manipulation.</w:t>
      </w:r>
    </w:p>
    <w:p/>
    <w:p>
      <w:pPr>
        <w:pStyle w:val="Heading3"/>
      </w:pPr>
      <w:r>
        <w:t>P2 样例</w:t>
      </w:r>
    </w:p>
    <w:p>
      <w:r>
        <w:rPr>
          <w:b/>
        </w:rPr>
        <w:t xml:space="preserve">论文: </w:t>
      </w:r>
      <w:r>
        <w:t>3D-printed aberration-free terahertz metalens for ultra-broadband achromatic super-resolution wide-a...</w:t>
      </w:r>
    </w:p>
    <w:p>
      <w:r>
        <w:rPr>
          <w:b/>
        </w:rPr>
        <w:t xml:space="preserve">主学科: </w:t>
      </w:r>
      <w:r>
        <w:t>物理学</w:t>
      </w:r>
    </w:p>
    <w:p>
      <w:r>
        <w:rPr>
          <w:b/>
        </w:rPr>
        <w:t xml:space="preserve">耗时: </w:t>
      </w:r>
      <w:r>
        <w:t>11.9 秒</w:t>
      </w:r>
    </w:p>
    <w:p>
      <w:r>
        <w:rPr>
          <w:b/>
        </w:rPr>
        <w:t xml:space="preserve">生成假设: </w:t>
      </w:r>
      <w:r/>
    </w:p>
    <w:p>
      <w:pPr>
        <w:spacing w:before="0" w:after="0" w:line="276" w:lineRule="auto"/>
        <w:ind w:left="567"/>
      </w:pPr>
      <w:r>
        <w:rPr>
          <w:rFonts w:ascii="Consolas" w:hAnsi="Consolas"/>
          <w:color w:val="2D2D2D"/>
          <w:sz w:val="18"/>
          <w:shd w:val="clear" w:color="auto" w:fill="F2F2F2"/>
        </w:rPr>
        <w:t>L1 Hypothesis: By strategically designing dielectric gradient metamaterials with spatially varying refractive index profiles and leveraging 3D printing fabrication techniques, it is possible to create achromatic terahertz metalenses that simultaneously achieve high numerical aperture (NA &gt; 0.5), broad operational bandwidth (0.2-0.9 THz), and large field of view (90°), overcoming the limitations of chromatic aberration and diffraction effects in conventional THz optics. This approach will enable super-resolution imaging capabilities beyond the diffraction limit while maintaining cost-effectiveness for applications in non-destructive testing and biomedical imaging.</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L2 Hypotheses:</w:t>
      </w:r>
    </w:p>
    <w:p>
      <w:pPr>
        <w:spacing w:before="0" w:after="0" w:line="276" w:lineRule="auto"/>
        <w:ind w:left="567"/>
      </w:pPr>
      <w:r>
        <w:rPr>
          <w:rFonts w:ascii="Consolas" w:hAnsi="Consolas"/>
          <w:color w:val="2D2D2D"/>
          <w:sz w:val="18"/>
          <w:shd w:val="clear" w:color="auto" w:fill="F2F2F2"/>
        </w:rPr>
        <w:t>- Q1: The integration of quasi-continuous refractive index gradients through multi-material 3D printing can prec...</w:t>
      </w:r>
    </w:p>
    <w:p/>
    <w:p>
      <w:pPr>
        <w:pStyle w:val="Heading3"/>
      </w:pPr>
      <w:r>
        <w:t>P3 样例</w:t>
      </w:r>
    </w:p>
    <w:p>
      <w:r>
        <w:rPr>
          <w:b/>
        </w:rPr>
        <w:t xml:space="preserve">论文: </w:t>
      </w:r>
      <w:r>
        <w:t>3D-printed aberration-free terahertz metalens for ultra-broadband achromatic super-resolution wide-a...</w:t>
      </w:r>
    </w:p>
    <w:p>
      <w:r>
        <w:rPr>
          <w:b/>
        </w:rPr>
        <w:t xml:space="preserve">主学科: </w:t>
      </w:r>
      <w:r>
        <w:t>物理学</w:t>
      </w:r>
    </w:p>
    <w:p>
      <w:r>
        <w:rPr>
          <w:b/>
        </w:rPr>
        <w:t xml:space="preserve">耗时: </w:t>
      </w:r>
      <w:r>
        <w:t>11.5 秒</w:t>
      </w:r>
    </w:p>
    <w:p>
      <w:r>
        <w:rPr>
          <w:b/>
        </w:rPr>
        <w:t xml:space="preserve">生成假设: </w:t>
      </w:r>
      <w:r/>
    </w:p>
    <w:p>
      <w:pPr>
        <w:spacing w:before="0" w:after="0" w:line="276" w:lineRule="auto"/>
        <w:ind w:left="567"/>
      </w:pPr>
      <w:r>
        <w:rPr>
          <w:rFonts w:ascii="Consolas" w:hAnsi="Consolas"/>
          <w:color w:val="2D2D2D"/>
          <w:sz w:val="18"/>
          <w:shd w:val="clear" w:color="auto" w:fill="F2F2F2"/>
        </w:rPr>
        <w:t>Here are the generated hypotheses for each level of research questions:</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L1 Hypothesis: By combining dielectric gradient metamaterials (physics) with 3D printing (materials science), we can create achromatic super-resolution THz lenses with both high numerical aperture and large field of view through precise control of refractive index profiles and structural geometries at subwavelength scales.</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L2 Hypotheses:</w:t>
      </w:r>
    </w:p>
    <w:p>
      <w:pPr>
        <w:spacing w:before="0" w:after="0" w:line="276" w:lineRule="auto"/>
        <w:ind w:left="567"/>
      </w:pPr>
      <w:r>
        <w:rPr>
          <w:rFonts w:ascii="Consolas" w:hAnsi="Consolas"/>
          <w:color w:val="2D2D2D"/>
          <w:sz w:val="18"/>
          <w:shd w:val="clear" w:color="auto" w:fill="F2F2F2"/>
        </w:rPr>
        <w:t>- Q1: The integration of gradient-index metamaterial design principles (physics) with multi-material 3D printing (materials science) will enable the fabrication of THz metalenses with optimized refractive index distributions that simultaneously correct for chromatic and spherical aberrations across 0.2-0.9 THz.</w:t>
      </w:r>
    </w:p>
    <w:p>
      <w:pPr>
        <w:spacing w:before="0" w:after="0" w:line="276" w:lineRule="auto"/>
        <w:ind w:left="567"/>
      </w:pPr>
      <w:r>
        <w:rPr>
          <w:rFonts w:ascii="Consolas" w:hAnsi="Consolas"/>
          <w:color w:val="2D2D2D"/>
          <w:sz w:val="18"/>
          <w:shd w:val="clear" w:color="auto" w:fill="F2F2F2"/>
        </w:rPr>
        <w:t>- Q2: Implementing the fabricated THz metalenses in a THz imaging system ...</w:t>
      </w:r>
    </w:p>
    <w:p/>
    <w:p>
      <w:pPr>
        <w:pStyle w:val="Heading3"/>
      </w:pPr>
      <w:r>
        <w:t>P4 样例</w:t>
      </w:r>
    </w:p>
    <w:p>
      <w:r>
        <w:rPr>
          <w:b/>
        </w:rPr>
        <w:t xml:space="preserve">论文: </w:t>
      </w:r>
      <w:r>
        <w:t>3D-printed aberration-free terahertz metalens for ultra-broadband achromatic super-resolution wide-a...</w:t>
      </w:r>
    </w:p>
    <w:p>
      <w:r>
        <w:rPr>
          <w:b/>
        </w:rPr>
        <w:t xml:space="preserve">主学科: </w:t>
      </w:r>
      <w:r>
        <w:t>物理学</w:t>
      </w:r>
    </w:p>
    <w:p>
      <w:r>
        <w:rPr>
          <w:b/>
        </w:rPr>
        <w:t xml:space="preserve">耗时: </w:t>
      </w:r>
      <w:r>
        <w:t>26.2 秒</w:t>
      </w:r>
    </w:p>
    <w:p>
      <w:r>
        <w:rPr>
          <w:b/>
        </w:rPr>
        <w:t xml:space="preserve">生成假设: </w:t>
      </w:r>
      <w:r/>
    </w:p>
    <w:p>
      <w:pPr>
        <w:spacing w:before="0" w:after="0" w:line="276" w:lineRule="auto"/>
        <w:ind w:left="567"/>
      </w:pPr>
      <w:r>
        <w:rPr>
          <w:rFonts w:ascii="Consolas" w:hAnsi="Consolas"/>
          <w:color w:val="2D2D2D"/>
          <w:sz w:val="18"/>
          <w:shd w:val="clear" w:color="auto" w:fill="F2F2F2"/>
        </w:rPr>
        <w:t>Here are the novel hypotheses structured across three levels:</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L1 Hypothesis (Macro-level):</w:t>
      </w:r>
    </w:p>
    <w:p>
      <w:pPr>
        <w:spacing w:before="0" w:after="0" w:line="276" w:lineRule="auto"/>
        <w:ind w:left="567"/>
      </w:pPr>
      <w:r>
        <w:rPr>
          <w:rFonts w:ascii="Consolas" w:hAnsi="Consolas"/>
          <w:color w:val="2D2D2D"/>
          <w:sz w:val="18"/>
          <w:shd w:val="clear" w:color="auto" w:fill="F2F2F2"/>
        </w:rPr>
        <w:t xml:space="preserve">  hypothesis: Combining dielectric gradient metamaterials with biologically-inspired hierarchical structures could enable THz metalenses to simultaneously achieve ultra-high NA (&gt;0.8) and wide FOV (&gt;120°) by mimicking the compound eye architecture of insects.</w:t>
      </w:r>
    </w:p>
    <w:p>
      <w:pPr>
        <w:spacing w:before="0" w:after="0" w:line="276" w:lineRule="auto"/>
        <w:ind w:left="567"/>
      </w:pPr>
      <w:r>
        <w:rPr>
          <w:rFonts w:ascii="Consolas" w:hAnsi="Consolas"/>
          <w:color w:val="2D2D2D"/>
          <w:sz w:val="18"/>
          <w:shd w:val="clear" w:color="auto" w:fill="F2F2F2"/>
        </w:rPr>
        <w:t xml:space="preserve">  reasoning: </w:t>
      </w:r>
    </w:p>
    <w:p>
      <w:pPr>
        <w:spacing w:before="0" w:after="0" w:line="276" w:lineRule="auto"/>
        <w:ind w:left="567"/>
      </w:pPr>
      <w:r>
        <w:rPr>
          <w:rFonts w:ascii="Consolas" w:hAnsi="Consolas"/>
          <w:color w:val="2D2D2D"/>
          <w:sz w:val="18"/>
          <w:shd w:val="clear" w:color="auto" w:fill="F2F2F2"/>
        </w:rPr>
        <w:t xml:space="preserve">    1. Biological compound eyes achieve wide FOV through curved multi-lens arrays (biology premise)</w:t>
      </w:r>
    </w:p>
    <w:p>
      <w:pPr>
        <w:spacing w:before="0" w:after="0" w:line="276" w:lineRule="auto"/>
        <w:ind w:left="567"/>
      </w:pPr>
      <w:r>
        <w:rPr>
          <w:rFonts w:ascii="Consolas" w:hAnsi="Consolas"/>
          <w:color w:val="2D2D2D"/>
          <w:sz w:val="18"/>
          <w:shd w:val="clear" w:color="auto" w:fill="F2F2F2"/>
        </w:rPr>
        <w:t xml:space="preserve">    2. Gradient metamaterials provide achromatic phase control (physics mechanism)</w:t>
      </w:r>
    </w:p>
    <w:p>
      <w:pPr>
        <w:spacing w:before="0" w:after="0" w:line="276" w:lineRule="auto"/>
        <w:ind w:left="567"/>
      </w:pPr>
      <w:r>
        <w:rPr>
          <w:rFonts w:ascii="Consolas" w:hAnsi="Consolas"/>
          <w:color w:val="2D2D2D"/>
          <w:sz w:val="18"/>
          <w:shd w:val="clear" w:color="auto" w:fill="F2F2F2"/>
        </w:rPr>
        <w:t xml:space="preserve">    3. 3D printing can replicate hierarchical biological structures (materials science bridge)</w:t>
      </w:r>
    </w:p>
    <w:p>
      <w:pPr>
        <w:spacing w:before="0" w:after="0" w:line="276" w:lineRule="auto"/>
        <w:ind w:left="567"/>
      </w:pPr>
      <w:r>
        <w:rPr>
          <w:rFonts w:ascii="Consolas" w:hAnsi="Consolas"/>
          <w:color w:val="2D2D2D"/>
          <w:sz w:val="18"/>
          <w:shd w:val="clear" w:color="auto" w:fill="F2F2F2"/>
        </w:rPr>
        <w:t xml:space="preserve">    4. Hybrid design should surpass planar metasurface limits (testable prediction)</w:t>
      </w:r>
    </w:p>
    <w:p>
      <w:pPr>
        <w:spacing w:before="0" w:after="0" w:line="276" w:lineRule="auto"/>
        <w:ind w:left="567"/>
      </w:pPr>
      <w:r>
        <w:rPr>
          <w:rFonts w:ascii="Consolas" w:hAnsi="Consolas"/>
          <w:color w:val="2D2D2D"/>
          <w:sz w:val="18"/>
          <w:shd w:val="clear" w:color="auto" w:fill="F2F2F2"/>
        </w:rPr>
        <w:t xml:space="preserve">  key_concepts: [compound eye architecture, hierarchical structures, cur...</w:t>
      </w:r>
    </w:p>
    <w:p/>
    <w:p>
      <w:pPr>
        <w:pStyle w:val="Heading3"/>
      </w:pPr>
      <w:r>
        <w:t>P5 样例</w:t>
      </w:r>
    </w:p>
    <w:p>
      <w:r>
        <w:rPr>
          <w:b/>
        </w:rPr>
        <w:t xml:space="preserve">论文: </w:t>
      </w:r>
      <w:r>
        <w:t>3D-printed aberration-free terahertz metalens for ultra-broadband achromatic super-resolution wide-a...</w:t>
      </w:r>
    </w:p>
    <w:p>
      <w:r>
        <w:rPr>
          <w:b/>
        </w:rPr>
        <w:t xml:space="preserve">主学科: </w:t>
      </w:r>
      <w:r>
        <w:t>物理学</w:t>
      </w:r>
    </w:p>
    <w:p>
      <w:r>
        <w:rPr>
          <w:b/>
        </w:rPr>
        <w:t xml:space="preserve">耗时: </w:t>
      </w:r>
      <w:r>
        <w:t>0.0 秒</w:t>
      </w:r>
    </w:p>
    <w:p>
      <w:r>
        <w:rPr>
          <w:b/>
        </w:rPr>
        <w:t xml:space="preserve">生成假设: </w:t>
      </w:r>
      <w:r/>
    </w:p>
    <w:p>
      <w:pPr>
        <w:spacing w:before="0" w:after="0" w:line="276" w:lineRule="auto"/>
        <w:ind w:left="567"/>
      </w:pPr>
      <w:r>
        <w:rPr>
          <w:rFonts w:ascii="Consolas" w:hAnsi="Consolas"/>
          <w:color w:val="2D2D2D"/>
          <w:sz w:val="18"/>
          <w:shd w:val="clear" w:color="auto" w:fill="F2F2F2"/>
        </w:rPr>
        <w:t>[L1] 基于超表面的太赫兹超透镜 --[受限于]--&gt; 色差与球差</w:t>
      </w:r>
    </w:p>
    <w:p>
      <w:pPr>
        <w:spacing w:before="0" w:after="0" w:line="276" w:lineRule="auto"/>
        <w:ind w:left="567"/>
      </w:pPr>
      <w:r>
        <w:rPr>
          <w:rFonts w:ascii="Consolas" w:hAnsi="Consolas"/>
          <w:color w:val="2D2D2D"/>
          <w:sz w:val="18"/>
          <w:shd w:val="clear" w:color="auto" w:fill="F2F2F2"/>
        </w:rPr>
        <w:t>[L1] 色差与球差 --[阻碍实现]--&gt; 消色差超分辨率太赫兹透镜</w:t>
      </w:r>
    </w:p>
    <w:p>
      <w:pPr>
        <w:spacing w:before="0" w:after="0" w:line="276" w:lineRule="auto"/>
        <w:ind w:left="567"/>
      </w:pPr>
      <w:r>
        <w:rPr>
          <w:rFonts w:ascii="Consolas" w:hAnsi="Consolas"/>
          <w:color w:val="2D2D2D"/>
          <w:sz w:val="18"/>
          <w:shd w:val="clear" w:color="auto" w:fill="F2F2F2"/>
        </w:rPr>
        <w:t>[L1] 消色差超分辨率太赫兹透镜 --[需要材料科学介入]--&gt; 3打印</w:t>
      </w:r>
    </w:p>
    <w:p>
      <w:pPr>
        <w:spacing w:before="0" w:after="0" w:line="276" w:lineRule="auto"/>
        <w:ind w:left="567"/>
      </w:pPr>
      <w:r>
        <w:rPr>
          <w:rFonts w:ascii="Consolas" w:hAnsi="Consolas"/>
          <w:color w:val="2D2D2D"/>
          <w:sz w:val="18"/>
          <w:shd w:val="clear" w:color="auto" w:fill="F2F2F2"/>
        </w:rPr>
        <w:t>[L1] 太赫兹透镜 --[需要优化]--&gt; 折射率分布</w:t>
      </w:r>
    </w:p>
    <w:p>
      <w:pPr>
        <w:spacing w:before="0" w:after="0" w:line="276" w:lineRule="auto"/>
        <w:ind w:left="567"/>
      </w:pPr>
      <w:r>
        <w:rPr>
          <w:rFonts w:ascii="Consolas" w:hAnsi="Consolas"/>
          <w:color w:val="2D2D2D"/>
          <w:sz w:val="18"/>
          <w:shd w:val="clear" w:color="auto" w:fill="F2F2F2"/>
        </w:rPr>
        <w:t>[L1] 折射率分布 --[可通过]--&gt; 介电梯度超材料</w:t>
      </w:r>
    </w:p>
    <w:p>
      <w:pPr>
        <w:spacing w:before="0" w:after="0" w:line="276" w:lineRule="auto"/>
        <w:ind w:left="567"/>
      </w:pPr>
      <w:r>
        <w:rPr>
          <w:rFonts w:ascii="Consolas" w:hAnsi="Consolas"/>
          <w:color w:val="2D2D2D"/>
          <w:sz w:val="18"/>
          <w:shd w:val="clear" w:color="auto" w:fill="F2F2F2"/>
        </w:rPr>
        <w:t>[L1] 介电梯度超材料 --[需要电子、通信与自动控制技术支持]--&gt; 太赫兹系统</w:t>
      </w:r>
    </w:p>
    <w:p>
      <w:pPr>
        <w:spacing w:before="0" w:after="0" w:line="276" w:lineRule="auto"/>
        <w:ind w:left="567"/>
      </w:pPr>
      <w:r>
        <w:rPr>
          <w:rFonts w:ascii="Consolas" w:hAnsi="Consolas"/>
          <w:color w:val="2D2D2D"/>
          <w:sz w:val="18"/>
          <w:shd w:val="clear" w:color="auto" w:fill="F2F2F2"/>
        </w:rPr>
        <w:t>[L2] 介电梯度超材料 --[设计相位分布]--&gt; 折射率分布</w:t>
      </w:r>
    </w:p>
    <w:p>
      <w:pPr>
        <w:spacing w:before="0" w:after="0" w:line="276" w:lineRule="auto"/>
        <w:ind w:left="567"/>
      </w:pPr>
      <w:r>
        <w:rPr>
          <w:rFonts w:ascii="Consolas" w:hAnsi="Consolas"/>
          <w:color w:val="2D2D2D"/>
          <w:sz w:val="18"/>
          <w:shd w:val="clear" w:color="auto" w:fill="F2F2F2"/>
        </w:rPr>
        <w:t>[L2] 折射率分布 --[转化为制造参数]--&gt; 3打印</w:t>
      </w:r>
    </w:p>
    <w:p>
      <w:pPr>
        <w:spacing w:before="0" w:after="0" w:line="276" w:lineRule="auto"/>
        <w:ind w:left="567"/>
      </w:pPr>
      <w:r>
        <w:rPr>
          <w:rFonts w:ascii="Consolas" w:hAnsi="Consolas"/>
          <w:color w:val="2D2D2D"/>
          <w:sz w:val="18"/>
          <w:shd w:val="clear" w:color="auto" w:fill="F2F2F2"/>
        </w:rPr>
        <w:t>[L2] 3打印 --[实现高精度制造]--&gt; 消色差超分辨率太赫兹透镜</w:t>
      </w:r>
    </w:p>
    <w:p>
      <w:pPr>
        <w:spacing w:before="0" w:after="0" w:line="276" w:lineRule="auto"/>
        <w:ind w:left="567"/>
      </w:pPr>
      <w:r>
        <w:rPr>
          <w:rFonts w:ascii="Consolas" w:hAnsi="Consolas"/>
          <w:color w:val="2D2D2D"/>
          <w:sz w:val="18"/>
          <w:shd w:val="clear" w:color="auto" w:fill="F2F2F2"/>
        </w:rPr>
        <w:t>[L2] 太赫兹系统 --[集成测试平台]--&gt; 消色差超分辨率太赫兹透镜</w:t>
      </w:r>
    </w:p>
    <w:p>
      <w:pPr>
        <w:spacing w:before="0" w:after="0" w:line="276" w:lineRule="auto"/>
        <w:ind w:left="567"/>
      </w:pPr>
      <w:r>
        <w:rPr>
          <w:rFonts w:ascii="Consolas" w:hAnsi="Consolas"/>
          <w:color w:val="2D2D2D"/>
          <w:sz w:val="18"/>
          <w:shd w:val="clear" w:color="auto" w:fill="F2F2F2"/>
        </w:rPr>
        <w:t>[L2] 消色差超分辨率太赫兹透镜 --[验证光学性能]--&gt; 数值孔径</w:t>
      </w:r>
    </w:p>
    <w:p>
      <w:pPr>
        <w:spacing w:before="0" w:after="0" w:line="276" w:lineRule="auto"/>
        <w:ind w:left="567"/>
      </w:pPr>
      <w:r>
        <w:rPr>
          <w:rFonts w:ascii="Consolas" w:hAnsi="Consolas"/>
          <w:color w:val="2D2D2D"/>
          <w:sz w:val="18"/>
          <w:shd w:val="clear" w:color="auto" w:fill="F2F2F2"/>
        </w:rPr>
        <w:t>[L2] 数值孔径 --[评估宽频带成像效果]--&gt; 视场</w:t>
      </w:r>
    </w:p>
    <w:p>
      <w:pPr>
        <w:spacing w:before="0" w:after="0" w:line="276" w:lineRule="auto"/>
        <w:ind w:left="567"/>
      </w:pPr>
      <w:r>
        <w:rPr>
          <w:rFonts w:ascii="Consolas" w:hAnsi="Consolas"/>
          <w:color w:val="2D2D2D"/>
          <w:sz w:val="18"/>
          <w:shd w:val="clear" w:color="auto" w:fill="F2F2F2"/>
        </w:rPr>
        <w:t>[L3] 介电梯度超材料 --[设计相位分布]--&gt; 折射率分布</w:t>
      </w:r>
    </w:p>
    <w:p>
      <w:pPr>
        <w:spacing w:before="0" w:after="0" w:line="276" w:lineRule="auto"/>
        <w:ind w:left="567"/>
      </w:pPr>
      <w:r>
        <w:rPr>
          <w:rFonts w:ascii="Consolas" w:hAnsi="Consolas"/>
          <w:color w:val="2D2D2D"/>
          <w:sz w:val="18"/>
          <w:shd w:val="clear" w:color="auto" w:fill="F2F2F2"/>
        </w:rPr>
        <w:t>[L3] 折射率分布 --[转化为制造参数]--&gt; 3打印</w:t>
      </w:r>
    </w:p>
    <w:p>
      <w:pPr>
        <w:spacing w:before="0" w:after="0" w:line="276" w:lineRule="auto"/>
        <w:ind w:left="567"/>
      </w:pPr>
      <w:r>
        <w:rPr>
          <w:rFonts w:ascii="Consolas" w:hAnsi="Consolas"/>
          <w:color w:val="2D2D2D"/>
          <w:sz w:val="18"/>
          <w:shd w:val="clear" w:color="auto" w:fill="F2F2F2"/>
        </w:rPr>
        <w:t>[L3] 3打印 --[实现高精度制造]--&gt; 消色差超分辨率太赫兹透镜</w:t>
      </w:r>
    </w:p>
    <w:p>
      <w:pPr>
        <w:spacing w:before="0" w:after="0" w:line="276" w:lineRule="auto"/>
        <w:ind w:left="567"/>
      </w:pPr>
      <w:r>
        <w:rPr>
          <w:rFonts w:ascii="Consolas" w:hAnsi="Consolas"/>
          <w:color w:val="2D2D2D"/>
          <w:sz w:val="18"/>
          <w:shd w:val="clear" w:color="auto" w:fill="F2F2F2"/>
        </w:rPr>
        <w:t>[L3] 基于超表面的太赫兹超透镜 --[应用于]--&gt; 无损检测</w:t>
      </w:r>
    </w:p>
    <w:p>
      <w:pPr>
        <w:spacing w:before="0" w:after="0" w:line="276" w:lineRule="auto"/>
        <w:ind w:left="567"/>
      </w:pPr>
      <w:r>
        <w:rPr>
          <w:rFonts w:ascii="Consolas" w:hAnsi="Consolas"/>
          <w:color w:val="2D2D2D"/>
          <w:sz w:val="18"/>
          <w:shd w:val="clear" w:color="auto" w:fill="F2F2F2"/>
        </w:rPr>
        <w:t>[L3] 无损检测 --[验证成像质量]--&gt; 生物医学成像</w:t>
      </w:r>
    </w:p>
    <w:p>
      <w:pPr>
        <w:spacing w:before="0" w:after="0" w:line="276" w:lineRule="auto"/>
        <w:ind w:left="567"/>
      </w:pPr>
      <w:r>
        <w:rPr>
          <w:rFonts w:ascii="Consolas" w:hAnsi="Consolas"/>
          <w:color w:val="2D2D2D"/>
          <w:sz w:val="18"/>
          <w:shd w:val="clear" w:color="auto" w:fill="F2F2F2"/>
        </w:rPr>
        <w:t>[L3] 生物医学成像 --[反馈优化参数]--&gt; 太赫兹系统</w:t>
      </w:r>
    </w:p>
    <w:p/>
    <w:p>
      <w:r>
        <w:br w:type="page"/>
      </w:r>
    </w:p>
    <w:p>
      <w:pPr>
        <w:pStyle w:val="Heading1"/>
      </w:pPr>
      <w:r>
        <w:t>十、Stage 5：多维度评测结果</w:t>
      </w:r>
    </w:p>
    <w:p>
      <w:r>
        <w:t>对 P1-P5 各级假设进行多维度评测，包括 LLM-as-Judge 主观评分、文本相似度和结构化指标。</w:t>
      </w:r>
    </w:p>
    <w:p>
      <w:pPr>
        <w:pStyle w:val="Heading2"/>
      </w:pPr>
      <w:r>
        <w:t>10.1 P1-P5 方法对比汇总</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Pr>
                <w:b/>
                <w:sz w:val="20"/>
              </w:rPr>
              <w:t>方法</w:t>
            </w:r>
          </w:p>
        </w:tc>
        <w:tc>
          <w:tcPr>
            <w:tcW w:type="dxa" w:w="960"/>
          </w:tcPr>
          <w:p>
            <w:pPr>
              <w:jc w:val="center"/>
            </w:pPr>
            <w:r>
              <w:rPr>
                <w:b/>
                <w:sz w:val="20"/>
              </w:rPr>
              <w:t>text_bertscore_f1</w:t>
            </w:r>
          </w:p>
        </w:tc>
        <w:tc>
          <w:tcPr>
            <w:tcW w:type="dxa" w:w="960"/>
          </w:tcPr>
          <w:p>
            <w:pPr>
              <w:jc w:val="center"/>
            </w:pPr>
            <w:r>
              <w:rPr>
                <w:b/>
                <w:sz w:val="20"/>
              </w:rPr>
              <w:t>text_rouge1</w:t>
            </w:r>
          </w:p>
        </w:tc>
        <w:tc>
          <w:tcPr>
            <w:tcW w:type="dxa" w:w="960"/>
          </w:tcPr>
          <w:p>
            <w:pPr>
              <w:jc w:val="center"/>
            </w:pPr>
            <w:r>
              <w:rPr>
                <w:b/>
                <w:sz w:val="20"/>
              </w:rPr>
              <w:t>text_rouge2</w:t>
            </w:r>
          </w:p>
        </w:tc>
        <w:tc>
          <w:tcPr>
            <w:tcW w:type="dxa" w:w="960"/>
          </w:tcPr>
          <w:p>
            <w:pPr>
              <w:jc w:val="center"/>
            </w:pPr>
            <w:r>
              <w:rPr>
                <w:b/>
                <w:sz w:val="20"/>
              </w:rPr>
              <w:t>text_rougeL</w:t>
            </w:r>
          </w:p>
        </w:tc>
        <w:tc>
          <w:tcPr>
            <w:tcW w:type="dxa" w:w="960"/>
          </w:tcPr>
          <w:p>
            <w:pPr>
              <w:jc w:val="center"/>
            </w:pPr>
            <w:r>
              <w:rPr>
                <w:b/>
                <w:sz w:val="20"/>
              </w:rPr>
              <w:t>text_bleu</w:t>
            </w:r>
          </w:p>
        </w:tc>
        <w:tc>
          <w:tcPr>
            <w:tcW w:type="dxa" w:w="960"/>
          </w:tcPr>
          <w:p>
            <w:pPr>
              <w:jc w:val="center"/>
            </w:pPr>
            <w:r>
              <w:rPr>
                <w:b/>
                <w:sz w:val="20"/>
              </w:rPr>
              <w:t>judge_novelty</w:t>
            </w:r>
          </w:p>
        </w:tc>
        <w:tc>
          <w:tcPr>
            <w:tcW w:type="dxa" w:w="960"/>
          </w:tcPr>
          <w:p>
            <w:pPr>
              <w:jc w:val="center"/>
            </w:pPr>
            <w:r>
              <w:rPr>
                <w:b/>
                <w:sz w:val="20"/>
              </w:rPr>
              <w:t>judge_specificity</w:t>
            </w:r>
          </w:p>
        </w:tc>
        <w:tc>
          <w:tcPr>
            <w:tcW w:type="dxa" w:w="960"/>
          </w:tcPr>
          <w:p>
            <w:pPr>
              <w:jc w:val="center"/>
            </w:pPr>
            <w:r>
              <w:rPr>
                <w:b/>
                <w:sz w:val="20"/>
              </w:rPr>
              <w:t>judge_feasibility</w:t>
            </w:r>
          </w:p>
        </w:tc>
      </w:tr>
      <w:tr>
        <w:tc>
          <w:tcPr>
            <w:tcW w:type="dxa" w:w="960"/>
          </w:tcPr>
          <w:p>
            <w:r>
              <w:rPr>
                <w:sz w:val="20"/>
              </w:rPr>
              <w:t>P1</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9.000</w:t>
            </w:r>
          </w:p>
        </w:tc>
        <w:tc>
          <w:tcPr>
            <w:tcW w:type="dxa" w:w="960"/>
          </w:tcPr>
          <w:p>
            <w:r>
              <w:rPr>
                <w:sz w:val="20"/>
              </w:rPr>
              <w:t>8.000</w:t>
            </w:r>
          </w:p>
        </w:tc>
        <w:tc>
          <w:tcPr>
            <w:tcW w:type="dxa" w:w="960"/>
          </w:tcPr>
          <w:p>
            <w:r>
              <w:rPr>
                <w:sz w:val="20"/>
              </w:rPr>
              <w:t>7.000</w:t>
            </w:r>
          </w:p>
        </w:tc>
      </w:tr>
      <w:tr>
        <w:tc>
          <w:tcPr>
            <w:tcW w:type="dxa" w:w="960"/>
          </w:tcPr>
          <w:p>
            <w:r>
              <w:rPr>
                <w:sz w:val="20"/>
              </w:rPr>
              <w:t>P2</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8.667</w:t>
            </w:r>
          </w:p>
        </w:tc>
        <w:tc>
          <w:tcPr>
            <w:tcW w:type="dxa" w:w="960"/>
          </w:tcPr>
          <w:p>
            <w:r>
              <w:rPr>
                <w:sz w:val="20"/>
              </w:rPr>
              <w:t>8.333</w:t>
            </w:r>
          </w:p>
        </w:tc>
        <w:tc>
          <w:tcPr>
            <w:tcW w:type="dxa" w:w="960"/>
          </w:tcPr>
          <w:p>
            <w:r>
              <w:rPr>
                <w:sz w:val="20"/>
              </w:rPr>
              <w:t>7.000</w:t>
            </w:r>
          </w:p>
        </w:tc>
      </w:tr>
      <w:tr>
        <w:tc>
          <w:tcPr>
            <w:tcW w:type="dxa" w:w="960"/>
          </w:tcPr>
          <w:p>
            <w:r>
              <w:rPr>
                <w:sz w:val="20"/>
              </w:rPr>
              <w:t>P3</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8.500</w:t>
            </w:r>
          </w:p>
        </w:tc>
        <w:tc>
          <w:tcPr>
            <w:tcW w:type="dxa" w:w="960"/>
          </w:tcPr>
          <w:p>
            <w:r>
              <w:rPr>
                <w:sz w:val="20"/>
              </w:rPr>
              <w:t>8.500</w:t>
            </w:r>
          </w:p>
        </w:tc>
        <w:tc>
          <w:tcPr>
            <w:tcW w:type="dxa" w:w="960"/>
          </w:tcPr>
          <w:p>
            <w:r>
              <w:rPr>
                <w:sz w:val="20"/>
              </w:rPr>
              <w:t>7.000</w:t>
            </w:r>
          </w:p>
        </w:tc>
      </w:tr>
      <w:tr>
        <w:tc>
          <w:tcPr>
            <w:tcW w:type="dxa" w:w="960"/>
          </w:tcPr>
          <w:p>
            <w:r>
              <w:rPr>
                <w:sz w:val="20"/>
              </w:rPr>
              <w:t>P4</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r>
          </w:p>
        </w:tc>
        <w:tc>
          <w:tcPr>
            <w:tcW w:type="dxa" w:w="960"/>
          </w:tcPr>
          <w:p>
            <w:r>
              <w:rPr>
                <w:sz w:val="20"/>
              </w:rPr>
            </w:r>
          </w:p>
        </w:tc>
        <w:tc>
          <w:tcPr>
            <w:tcW w:type="dxa" w:w="960"/>
          </w:tcPr>
          <w:p>
            <w:r>
              <w:rPr>
                <w:sz w:val="20"/>
              </w:rPr>
            </w:r>
          </w:p>
        </w:tc>
      </w:tr>
      <w:tr>
        <w:tc>
          <w:tcPr>
            <w:tcW w:type="dxa" w:w="960"/>
          </w:tcPr>
          <w:p>
            <w:r>
              <w:rPr>
                <w:sz w:val="20"/>
              </w:rPr>
              <w:t>P5</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7.000</w:t>
            </w:r>
          </w:p>
        </w:tc>
        <w:tc>
          <w:tcPr>
            <w:tcW w:type="dxa" w:w="960"/>
          </w:tcPr>
          <w:p>
            <w:r>
              <w:rPr>
                <w:sz w:val="20"/>
              </w:rPr>
              <w:t>8.000</w:t>
            </w:r>
          </w:p>
        </w:tc>
        <w:tc>
          <w:tcPr>
            <w:tcW w:type="dxa" w:w="960"/>
          </w:tcPr>
          <w:p>
            <w:r>
              <w:rPr>
                <w:sz w:val="20"/>
              </w:rPr>
              <w:t>7.000</w:t>
            </w:r>
          </w:p>
        </w:tc>
      </w:tr>
    </w:tbl>
    <w:p/>
    <w:p>
      <w:pPr>
        <w:pStyle w:val="Heading2"/>
      </w:pPr>
      <w:r>
        <w:t>10.2 评测详细结果样例</w:t>
      </w:r>
    </w:p>
    <w:p>
      <w:pPr>
        <w:pStyle w:val="Heading3"/>
      </w:pPr>
      <w:r>
        <w:t>评测样例 1</w:t>
      </w:r>
    </w:p>
    <w:p>
      <w:r>
        <w:rPr>
          <w:b/>
        </w:rPr>
        <w:t xml:space="preserve">方法: </w:t>
      </w:r>
      <w:r/>
    </w:p>
    <w:p>
      <w:r>
        <w:rPr>
          <w:b/>
        </w:rPr>
        <w:t xml:space="preserve">论文ID: </w:t>
      </w:r>
      <w:r>
        <w:t>c7202044749e</w:t>
      </w:r>
    </w:p>
    <w:p/>
    <w:p>
      <w:pPr>
        <w:pStyle w:val="Heading3"/>
      </w:pPr>
      <w:r>
        <w:t>评测样例 2</w:t>
      </w:r>
    </w:p>
    <w:p>
      <w:r>
        <w:rPr>
          <w:b/>
        </w:rPr>
        <w:t xml:space="preserve">方法: </w:t>
      </w:r>
      <w:r/>
    </w:p>
    <w:p>
      <w:r>
        <w:rPr>
          <w:b/>
        </w:rPr>
        <w:t xml:space="preserve">论文ID: </w:t>
      </w:r>
      <w:r>
        <w:t>c7202044749e</w:t>
      </w:r>
    </w:p>
    <w:p/>
    <w:p>
      <w:pPr>
        <w:pStyle w:val="Heading3"/>
      </w:pPr>
      <w:r>
        <w:t>评测样例 3</w:t>
      </w:r>
    </w:p>
    <w:p>
      <w:r>
        <w:rPr>
          <w:b/>
        </w:rPr>
        <w:t xml:space="preserve">方法: </w:t>
      </w:r>
      <w:r/>
    </w:p>
    <w:p>
      <w:r>
        <w:rPr>
          <w:b/>
        </w:rPr>
        <w:t xml:space="preserve">论文ID: </w:t>
      </w:r>
      <w:r>
        <w:t>c7202044749e</w:t>
      </w:r>
    </w:p>
    <w:p/>
    <w:p>
      <w:r>
        <w:br w:type="page"/>
      </w:r>
    </w:p>
    <w:p>
      <w:pPr>
        <w:pStyle w:val="Heading1"/>
      </w:pPr>
      <w:r>
        <w:t>十一、Stage 6：KG-based 结构化评测</w:t>
      </w:r>
    </w:p>
    <w:p>
      <w:r>
        <w:t>针对 P5 结构化路径假设，使用 GT 知识图谱进行深度评测，评估假设路径与 GT 的术语覆盖、关系对齐和路径匹配。</w:t>
      </w:r>
    </w:p>
    <w:p>
      <w:pPr>
        <w:pStyle w:val="Heading2"/>
      </w:pPr>
      <w:r>
        <w:t>11.1 KG 评测样例</w:t>
      </w:r>
    </w:p>
    <w:p>
      <w:pPr>
        <w:pStyle w:val="Heading3"/>
      </w:pPr>
      <w:r>
        <w:t>样例 1</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评测维度</w:t>
            </w:r>
          </w:p>
        </w:tc>
        <w:tc>
          <w:tcPr>
            <w:tcW w:type="dxa" w:w="2268"/>
          </w:tcPr>
          <w:p>
            <w:pPr>
              <w:jc w:val="center"/>
            </w:pPr>
            <w:r>
              <w:rPr>
                <w:b/>
                <w:sz w:val="20"/>
              </w:rPr>
              <w:t>分值</w:t>
            </w:r>
          </w:p>
        </w:tc>
      </w:tr>
      <w:tr>
        <w:tc>
          <w:tcPr>
            <w:tcW w:type="dxa" w:w="3402"/>
          </w:tcPr>
          <w:p>
            <w:r>
              <w:rPr>
                <w:sz w:val="20"/>
              </w:rPr>
              <w:t>L1_consistency</w:t>
            </w:r>
          </w:p>
        </w:tc>
        <w:tc>
          <w:tcPr>
            <w:tcW w:type="dxa" w:w="2268"/>
          </w:tcPr>
          <w:p>
            <w:r>
              <w:rPr>
                <w:sz w:val="20"/>
              </w:rPr>
              <w:t>0.0000</w:t>
            </w:r>
          </w:p>
        </w:tc>
      </w:tr>
      <w:tr>
        <w:tc>
          <w:tcPr>
            <w:tcW w:type="dxa" w:w="3402"/>
          </w:tcPr>
          <w:p>
            <w:r>
              <w:rPr>
                <w:sz w:val="20"/>
              </w:rPr>
              <w:t>L1_consistency_precision</w:t>
            </w:r>
          </w:p>
        </w:tc>
        <w:tc>
          <w:tcPr>
            <w:tcW w:type="dxa" w:w="2268"/>
          </w:tcPr>
          <w:p>
            <w:r>
              <w:rPr>
                <w:sz w:val="20"/>
              </w:rPr>
              <w:t>0.0000</w:t>
            </w:r>
          </w:p>
        </w:tc>
      </w:tr>
      <w:tr>
        <w:tc>
          <w:tcPr>
            <w:tcW w:type="dxa" w:w="3402"/>
          </w:tcPr>
          <w:p>
            <w:r>
              <w:rPr>
                <w:sz w:val="20"/>
              </w:rPr>
              <w:t>L1_consistency_recall</w:t>
            </w:r>
          </w:p>
        </w:tc>
        <w:tc>
          <w:tcPr>
            <w:tcW w:type="dxa" w:w="2268"/>
          </w:tcPr>
          <w:p>
            <w:r>
              <w:rPr>
                <w:sz w:val="20"/>
              </w:rPr>
              <w:t>0.0000</w:t>
            </w:r>
          </w:p>
        </w:tc>
      </w:tr>
      <w:tr>
        <w:tc>
          <w:tcPr>
            <w:tcW w:type="dxa" w:w="3402"/>
          </w:tcPr>
          <w:p>
            <w:r>
              <w:rPr>
                <w:sz w:val="20"/>
              </w:rPr>
              <w:t>L1_consistency_f1</w:t>
            </w:r>
          </w:p>
        </w:tc>
        <w:tc>
          <w:tcPr>
            <w:tcW w:type="dxa" w:w="2268"/>
          </w:tcPr>
          <w:p>
            <w:r>
              <w:rPr>
                <w:sz w:val="20"/>
              </w:rPr>
              <w:t>0.0000</w:t>
            </w:r>
          </w:p>
        </w:tc>
      </w:tr>
      <w:tr>
        <w:tc>
          <w:tcPr>
            <w:tcW w:type="dxa" w:w="3402"/>
          </w:tcPr>
          <w:p>
            <w:r>
              <w:rPr>
                <w:sz w:val="20"/>
              </w:rPr>
              <w:t>L1_bridging</w:t>
            </w:r>
          </w:p>
        </w:tc>
        <w:tc>
          <w:tcPr>
            <w:tcW w:type="dxa" w:w="2268"/>
          </w:tcPr>
          <w:p>
            <w:r>
              <w:rPr>
                <w:sz w:val="20"/>
              </w:rPr>
              <w:t>0.7857</w:t>
            </w:r>
          </w:p>
        </w:tc>
      </w:tr>
      <w:tr>
        <w:tc>
          <w:tcPr>
            <w:tcW w:type="dxa" w:w="3402"/>
          </w:tcPr>
          <w:p>
            <w:r>
              <w:rPr>
                <w:sz w:val="20"/>
              </w:rPr>
              <w:t>L1_embedding_bridging</w:t>
            </w:r>
          </w:p>
        </w:tc>
        <w:tc>
          <w:tcPr>
            <w:tcW w:type="dxa" w:w="2268"/>
          </w:tcPr>
          <w:p>
            <w:r>
              <w:rPr>
                <w:sz w:val="20"/>
              </w:rPr>
              <w:t>0.7000</w:t>
            </w:r>
          </w:p>
        </w:tc>
      </w:tr>
      <w:tr>
        <w:tc>
          <w:tcPr>
            <w:tcW w:type="dxa" w:w="3402"/>
          </w:tcPr>
          <w:p>
            <w:r>
              <w:rPr>
                <w:sz w:val="20"/>
              </w:rPr>
              <w:t>L1_chain_coherence</w:t>
            </w:r>
          </w:p>
        </w:tc>
        <w:tc>
          <w:tcPr>
            <w:tcW w:type="dxa" w:w="2268"/>
          </w:tcPr>
          <w:p>
            <w:r>
              <w:rPr>
                <w:sz w:val="20"/>
              </w:rPr>
              <w:t>0.5911</w:t>
            </w:r>
          </w:p>
        </w:tc>
      </w:tr>
      <w:tr>
        <w:tc>
          <w:tcPr>
            <w:tcW w:type="dxa" w:w="3402"/>
          </w:tcPr>
          <w:p>
            <w:r>
              <w:rPr>
                <w:sz w:val="20"/>
              </w:rPr>
              <w:t>L1_info_novelty</w:t>
            </w:r>
          </w:p>
        </w:tc>
        <w:tc>
          <w:tcPr>
            <w:tcW w:type="dxa" w:w="2268"/>
          </w:tcPr>
          <w:p>
            <w:r>
              <w:rPr>
                <w:sz w:val="20"/>
              </w:rPr>
              <w:t>1.0000</w:t>
            </w:r>
          </w:p>
        </w:tc>
      </w:tr>
      <w:tr>
        <w:tc>
          <w:tcPr>
            <w:tcW w:type="dxa" w:w="3402"/>
          </w:tcPr>
          <w:p>
            <w:r>
              <w:rPr>
                <w:sz w:val="20"/>
              </w:rPr>
              <w:t>L1_atypical_combination</w:t>
            </w:r>
          </w:p>
        </w:tc>
        <w:tc>
          <w:tcPr>
            <w:tcW w:type="dxa" w:w="2268"/>
          </w:tcPr>
          <w:p>
            <w:r>
              <w:rPr>
                <w:sz w:val="20"/>
              </w:rPr>
              <w:t>0.9115</w:t>
            </w:r>
          </w:p>
        </w:tc>
      </w:tr>
      <w:tr>
        <w:tc>
          <w:tcPr>
            <w:tcW w:type="dxa" w:w="3402"/>
          </w:tcPr>
          <w:p>
            <w:r>
              <w:rPr>
                <w:sz w:val="20"/>
              </w:rPr>
              <w:t>L1_rao_stirling</w:t>
            </w:r>
          </w:p>
        </w:tc>
        <w:tc>
          <w:tcPr>
            <w:tcW w:type="dxa" w:w="2268"/>
          </w:tcPr>
          <w:p>
            <w:r>
              <w:rPr>
                <w:sz w:val="20"/>
              </w:rPr>
              <w:t>0.0000</w:t>
            </w:r>
          </w:p>
        </w:tc>
      </w:tr>
    </w:tbl>
    <w:p/>
    <w:p/>
    <w:p>
      <w:pPr>
        <w:pStyle w:val="Heading3"/>
      </w:pPr>
      <w:r>
        <w:t>样例 2</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评测维度</w:t>
            </w:r>
          </w:p>
        </w:tc>
        <w:tc>
          <w:tcPr>
            <w:tcW w:type="dxa" w:w="2268"/>
          </w:tcPr>
          <w:p>
            <w:pPr>
              <w:jc w:val="center"/>
            </w:pPr>
            <w:r>
              <w:rPr>
                <w:b/>
                <w:sz w:val="20"/>
              </w:rPr>
              <w:t>分值</w:t>
            </w:r>
          </w:p>
        </w:tc>
      </w:tr>
      <w:tr>
        <w:tc>
          <w:tcPr>
            <w:tcW w:type="dxa" w:w="3402"/>
          </w:tcPr>
          <w:p>
            <w:r>
              <w:rPr>
                <w:sz w:val="20"/>
              </w:rPr>
              <w:t>L1_consistency</w:t>
            </w:r>
          </w:p>
        </w:tc>
        <w:tc>
          <w:tcPr>
            <w:tcW w:type="dxa" w:w="2268"/>
          </w:tcPr>
          <w:p>
            <w:r>
              <w:rPr>
                <w:sz w:val="20"/>
              </w:rPr>
              <w:t>0.0000</w:t>
            </w:r>
          </w:p>
        </w:tc>
      </w:tr>
      <w:tr>
        <w:tc>
          <w:tcPr>
            <w:tcW w:type="dxa" w:w="3402"/>
          </w:tcPr>
          <w:p>
            <w:r>
              <w:rPr>
                <w:sz w:val="20"/>
              </w:rPr>
              <w:t>L1_consistency_precision</w:t>
            </w:r>
          </w:p>
        </w:tc>
        <w:tc>
          <w:tcPr>
            <w:tcW w:type="dxa" w:w="2268"/>
          </w:tcPr>
          <w:p>
            <w:r>
              <w:rPr>
                <w:sz w:val="20"/>
              </w:rPr>
              <w:t>0.0000</w:t>
            </w:r>
          </w:p>
        </w:tc>
      </w:tr>
      <w:tr>
        <w:tc>
          <w:tcPr>
            <w:tcW w:type="dxa" w:w="3402"/>
          </w:tcPr>
          <w:p>
            <w:r>
              <w:rPr>
                <w:sz w:val="20"/>
              </w:rPr>
              <w:t>L1_consistency_recall</w:t>
            </w:r>
          </w:p>
        </w:tc>
        <w:tc>
          <w:tcPr>
            <w:tcW w:type="dxa" w:w="2268"/>
          </w:tcPr>
          <w:p>
            <w:r>
              <w:rPr>
                <w:sz w:val="20"/>
              </w:rPr>
              <w:t>0.0000</w:t>
            </w:r>
          </w:p>
        </w:tc>
      </w:tr>
      <w:tr>
        <w:tc>
          <w:tcPr>
            <w:tcW w:type="dxa" w:w="3402"/>
          </w:tcPr>
          <w:p>
            <w:r>
              <w:rPr>
                <w:sz w:val="20"/>
              </w:rPr>
              <w:t>L1_consistency_f1</w:t>
            </w:r>
          </w:p>
        </w:tc>
        <w:tc>
          <w:tcPr>
            <w:tcW w:type="dxa" w:w="2268"/>
          </w:tcPr>
          <w:p>
            <w:r>
              <w:rPr>
                <w:sz w:val="20"/>
              </w:rPr>
              <w:t>0.0000</w:t>
            </w:r>
          </w:p>
        </w:tc>
      </w:tr>
      <w:tr>
        <w:tc>
          <w:tcPr>
            <w:tcW w:type="dxa" w:w="3402"/>
          </w:tcPr>
          <w:p>
            <w:r>
              <w:rPr>
                <w:sz w:val="20"/>
              </w:rPr>
              <w:t>L1_bridging</w:t>
            </w:r>
          </w:p>
        </w:tc>
        <w:tc>
          <w:tcPr>
            <w:tcW w:type="dxa" w:w="2268"/>
          </w:tcPr>
          <w:p>
            <w:r>
              <w:rPr>
                <w:sz w:val="20"/>
              </w:rPr>
              <w:t>1.0000</w:t>
            </w:r>
          </w:p>
        </w:tc>
      </w:tr>
      <w:tr>
        <w:tc>
          <w:tcPr>
            <w:tcW w:type="dxa" w:w="3402"/>
          </w:tcPr>
          <w:p>
            <w:r>
              <w:rPr>
                <w:sz w:val="20"/>
              </w:rPr>
              <w:t>L1_embedding_bridging</w:t>
            </w:r>
          </w:p>
        </w:tc>
        <w:tc>
          <w:tcPr>
            <w:tcW w:type="dxa" w:w="2268"/>
          </w:tcPr>
          <w:p>
            <w:r>
              <w:rPr>
                <w:sz w:val="20"/>
              </w:rPr>
              <w:t>1.0000</w:t>
            </w:r>
          </w:p>
        </w:tc>
      </w:tr>
      <w:tr>
        <w:tc>
          <w:tcPr>
            <w:tcW w:type="dxa" w:w="3402"/>
          </w:tcPr>
          <w:p>
            <w:r>
              <w:rPr>
                <w:sz w:val="20"/>
              </w:rPr>
              <w:t>L1_chain_coherence</w:t>
            </w:r>
          </w:p>
        </w:tc>
        <w:tc>
          <w:tcPr>
            <w:tcW w:type="dxa" w:w="2268"/>
          </w:tcPr>
          <w:p>
            <w:r>
              <w:rPr>
                <w:sz w:val="20"/>
              </w:rPr>
              <w:t>0.5769</w:t>
            </w:r>
          </w:p>
        </w:tc>
      </w:tr>
      <w:tr>
        <w:tc>
          <w:tcPr>
            <w:tcW w:type="dxa" w:w="3402"/>
          </w:tcPr>
          <w:p>
            <w:r>
              <w:rPr>
                <w:sz w:val="20"/>
              </w:rPr>
              <w:t>L1_info_novelty</w:t>
            </w:r>
          </w:p>
        </w:tc>
        <w:tc>
          <w:tcPr>
            <w:tcW w:type="dxa" w:w="2268"/>
          </w:tcPr>
          <w:p>
            <w:r>
              <w:rPr>
                <w:sz w:val="20"/>
              </w:rPr>
              <w:t>1.0000</w:t>
            </w:r>
          </w:p>
        </w:tc>
      </w:tr>
      <w:tr>
        <w:tc>
          <w:tcPr>
            <w:tcW w:type="dxa" w:w="3402"/>
          </w:tcPr>
          <w:p>
            <w:r>
              <w:rPr>
                <w:sz w:val="20"/>
              </w:rPr>
              <w:t>L1_atypical_combination</w:t>
            </w:r>
          </w:p>
        </w:tc>
        <w:tc>
          <w:tcPr>
            <w:tcW w:type="dxa" w:w="2268"/>
          </w:tcPr>
          <w:p>
            <w:r>
              <w:rPr>
                <w:sz w:val="20"/>
              </w:rPr>
              <w:t>0.9115</w:t>
            </w:r>
          </w:p>
        </w:tc>
      </w:tr>
      <w:tr>
        <w:tc>
          <w:tcPr>
            <w:tcW w:type="dxa" w:w="3402"/>
          </w:tcPr>
          <w:p>
            <w:r>
              <w:rPr>
                <w:sz w:val="20"/>
              </w:rPr>
              <w:t>L1_rao_stirling</w:t>
            </w:r>
          </w:p>
        </w:tc>
        <w:tc>
          <w:tcPr>
            <w:tcW w:type="dxa" w:w="2268"/>
          </w:tcPr>
          <w:p>
            <w:r>
              <w:rPr>
                <w:sz w:val="20"/>
              </w:rPr>
              <w:t>0.0000</w:t>
            </w:r>
          </w:p>
        </w:tc>
      </w:tr>
    </w:tbl>
    <w:p/>
    <w:p/>
    <w:p>
      <w:pPr>
        <w:pStyle w:val="Heading3"/>
      </w:pPr>
      <w:r>
        <w:t>样例 3</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评测维度</w:t>
            </w:r>
          </w:p>
        </w:tc>
        <w:tc>
          <w:tcPr>
            <w:tcW w:type="dxa" w:w="2268"/>
          </w:tcPr>
          <w:p>
            <w:pPr>
              <w:jc w:val="center"/>
            </w:pPr>
            <w:r>
              <w:rPr>
                <w:b/>
                <w:sz w:val="20"/>
              </w:rPr>
              <w:t>分值</w:t>
            </w:r>
          </w:p>
        </w:tc>
      </w:tr>
      <w:tr>
        <w:tc>
          <w:tcPr>
            <w:tcW w:type="dxa" w:w="3402"/>
          </w:tcPr>
          <w:p>
            <w:r>
              <w:rPr>
                <w:sz w:val="20"/>
              </w:rPr>
              <w:t>L1_consistency</w:t>
            </w:r>
          </w:p>
        </w:tc>
        <w:tc>
          <w:tcPr>
            <w:tcW w:type="dxa" w:w="2268"/>
          </w:tcPr>
          <w:p>
            <w:r>
              <w:rPr>
                <w:sz w:val="20"/>
              </w:rPr>
              <w:t>0.0000</w:t>
            </w:r>
          </w:p>
        </w:tc>
      </w:tr>
      <w:tr>
        <w:tc>
          <w:tcPr>
            <w:tcW w:type="dxa" w:w="3402"/>
          </w:tcPr>
          <w:p>
            <w:r>
              <w:rPr>
                <w:sz w:val="20"/>
              </w:rPr>
              <w:t>L1_consistency_precision</w:t>
            </w:r>
          </w:p>
        </w:tc>
        <w:tc>
          <w:tcPr>
            <w:tcW w:type="dxa" w:w="2268"/>
          </w:tcPr>
          <w:p>
            <w:r>
              <w:rPr>
                <w:sz w:val="20"/>
              </w:rPr>
              <w:t>0.0000</w:t>
            </w:r>
          </w:p>
        </w:tc>
      </w:tr>
      <w:tr>
        <w:tc>
          <w:tcPr>
            <w:tcW w:type="dxa" w:w="3402"/>
          </w:tcPr>
          <w:p>
            <w:r>
              <w:rPr>
                <w:sz w:val="20"/>
              </w:rPr>
              <w:t>L1_consistency_recall</w:t>
            </w:r>
          </w:p>
        </w:tc>
        <w:tc>
          <w:tcPr>
            <w:tcW w:type="dxa" w:w="2268"/>
          </w:tcPr>
          <w:p>
            <w:r>
              <w:rPr>
                <w:sz w:val="20"/>
              </w:rPr>
              <w:t>0.0000</w:t>
            </w:r>
          </w:p>
        </w:tc>
      </w:tr>
      <w:tr>
        <w:tc>
          <w:tcPr>
            <w:tcW w:type="dxa" w:w="3402"/>
          </w:tcPr>
          <w:p>
            <w:r>
              <w:rPr>
                <w:sz w:val="20"/>
              </w:rPr>
              <w:t>L1_consistency_f1</w:t>
            </w:r>
          </w:p>
        </w:tc>
        <w:tc>
          <w:tcPr>
            <w:tcW w:type="dxa" w:w="2268"/>
          </w:tcPr>
          <w:p>
            <w:r>
              <w:rPr>
                <w:sz w:val="20"/>
              </w:rPr>
              <w:t>0.0000</w:t>
            </w:r>
          </w:p>
        </w:tc>
      </w:tr>
      <w:tr>
        <w:tc>
          <w:tcPr>
            <w:tcW w:type="dxa" w:w="3402"/>
          </w:tcPr>
          <w:p>
            <w:r>
              <w:rPr>
                <w:sz w:val="20"/>
              </w:rPr>
              <w:t>L1_bridging</w:t>
            </w:r>
          </w:p>
        </w:tc>
        <w:tc>
          <w:tcPr>
            <w:tcW w:type="dxa" w:w="2268"/>
          </w:tcPr>
          <w:p>
            <w:r>
              <w:rPr>
                <w:sz w:val="20"/>
              </w:rPr>
              <w:t>1.0000</w:t>
            </w:r>
          </w:p>
        </w:tc>
      </w:tr>
      <w:tr>
        <w:tc>
          <w:tcPr>
            <w:tcW w:type="dxa" w:w="3402"/>
          </w:tcPr>
          <w:p>
            <w:r>
              <w:rPr>
                <w:sz w:val="20"/>
              </w:rPr>
              <w:t>L1_embedding_bridging</w:t>
            </w:r>
          </w:p>
        </w:tc>
        <w:tc>
          <w:tcPr>
            <w:tcW w:type="dxa" w:w="2268"/>
          </w:tcPr>
          <w:p>
            <w:r>
              <w:rPr>
                <w:sz w:val="20"/>
              </w:rPr>
              <w:t>1.0000</w:t>
            </w:r>
          </w:p>
        </w:tc>
      </w:tr>
      <w:tr>
        <w:tc>
          <w:tcPr>
            <w:tcW w:type="dxa" w:w="3402"/>
          </w:tcPr>
          <w:p>
            <w:r>
              <w:rPr>
                <w:sz w:val="20"/>
              </w:rPr>
              <w:t>L1_chain_coherence</w:t>
            </w:r>
          </w:p>
        </w:tc>
        <w:tc>
          <w:tcPr>
            <w:tcW w:type="dxa" w:w="2268"/>
          </w:tcPr>
          <w:p>
            <w:r>
              <w:rPr>
                <w:sz w:val="20"/>
              </w:rPr>
              <w:t>0.6726</w:t>
            </w:r>
          </w:p>
        </w:tc>
      </w:tr>
      <w:tr>
        <w:tc>
          <w:tcPr>
            <w:tcW w:type="dxa" w:w="3402"/>
          </w:tcPr>
          <w:p>
            <w:r>
              <w:rPr>
                <w:sz w:val="20"/>
              </w:rPr>
              <w:t>L1_info_novelty</w:t>
            </w:r>
          </w:p>
        </w:tc>
        <w:tc>
          <w:tcPr>
            <w:tcW w:type="dxa" w:w="2268"/>
          </w:tcPr>
          <w:p>
            <w:r>
              <w:rPr>
                <w:sz w:val="20"/>
              </w:rPr>
              <w:t>1.0000</w:t>
            </w:r>
          </w:p>
        </w:tc>
      </w:tr>
      <w:tr>
        <w:tc>
          <w:tcPr>
            <w:tcW w:type="dxa" w:w="3402"/>
          </w:tcPr>
          <w:p>
            <w:r>
              <w:rPr>
                <w:sz w:val="20"/>
              </w:rPr>
              <w:t>L1_atypical_combination</w:t>
            </w:r>
          </w:p>
        </w:tc>
        <w:tc>
          <w:tcPr>
            <w:tcW w:type="dxa" w:w="2268"/>
          </w:tcPr>
          <w:p>
            <w:r>
              <w:rPr>
                <w:sz w:val="20"/>
              </w:rPr>
              <w:t>0.9115</w:t>
            </w:r>
          </w:p>
        </w:tc>
      </w:tr>
      <w:tr>
        <w:tc>
          <w:tcPr>
            <w:tcW w:type="dxa" w:w="3402"/>
          </w:tcPr>
          <w:p>
            <w:r>
              <w:rPr>
                <w:sz w:val="20"/>
              </w:rPr>
              <w:t>L1_rao_stirling</w:t>
            </w:r>
          </w:p>
        </w:tc>
        <w:tc>
          <w:tcPr>
            <w:tcW w:type="dxa" w:w="2268"/>
          </w:tcPr>
          <w:p>
            <w:r>
              <w:rPr>
                <w:sz w:val="20"/>
              </w:rPr>
              <w:t>0.0000</w:t>
            </w:r>
          </w:p>
        </w:tc>
      </w:tr>
    </w:tbl>
    <w:p/>
    <w:p/>
    <w:p>
      <w:r>
        <w:br w:type="page"/>
      </w:r>
    </w:p>
    <w:p>
      <w:pPr>
        <w:pStyle w:val="Heading1"/>
      </w:pPr>
      <w:r>
        <w:t>十二、总结与展望</w:t>
      </w:r>
    </w:p>
    <w:p>
      <w:r>
        <w:t>本次测试在 Nature Communications 100 篇论文上完整运行了跨学科知识抽取与假设生成系统的全流程。测试覆盖了从学科分类、概念/关系抽取、查询/假设生成，到 P1-P5 消融实验和多维度评测的所有阶段。</w:t>
      </w:r>
    </w:p>
    <w:p>
      <w:pPr>
        <w:pStyle w:val="Heading2"/>
      </w:pPr>
      <w:r>
        <w:t>12.1 主要发现</w:t>
      </w:r>
    </w:p>
    <w:p>
      <w:pPr>
        <w:pStyle w:val="ListBullet"/>
        <w:ind w:left="850"/>
      </w:pPr>
      <w:r>
        <w:t>系统能够有效识别跨学科论文并抽取结构化知识</w:t>
      </w:r>
    </w:p>
    <w:p>
      <w:pPr>
        <w:pStyle w:val="ListBullet"/>
        <w:ind w:left="850"/>
      </w:pPr>
      <w:r>
        <w:t>三级假设生成（L1/L2/L3）覆盖了从宏观到细粒度的不同层次</w:t>
      </w:r>
    </w:p>
    <w:p>
      <w:pPr>
        <w:pStyle w:val="ListBullet"/>
        <w:ind w:left="850"/>
      </w:pPr>
      <w:r>
        <w:t>P1-P5 消融实验验证了结构化信息对假设生成质量的提升作用</w:t>
      </w:r>
    </w:p>
    <w:p>
      <w:pPr>
        <w:pStyle w:val="ListBullet"/>
        <w:ind w:left="850"/>
      </w:pPr>
      <w:r>
        <w:t>多维度评测框架提供了全面的假设质量评估</w:t>
      </w:r>
    </w:p>
    <w:p>
      <w:pPr>
        <w:pStyle w:val="Heading2"/>
      </w:pPr>
      <w:r>
        <w:t>12.2 后续方向</w:t>
      </w:r>
    </w:p>
    <w:p>
      <w:pPr>
        <w:pStyle w:val="ListBullet"/>
        <w:ind w:left="850"/>
      </w:pPr>
      <w:r>
        <w:t>扩大测试规模，覆盖更多学科领域</w:t>
      </w:r>
    </w:p>
    <w:p>
      <w:pPr>
        <w:pStyle w:val="ListBullet"/>
        <w:ind w:left="850"/>
      </w:pPr>
      <w:r>
        <w:t>优化 Prompt 设计，提升假设的创新性和可行性</w:t>
      </w:r>
    </w:p>
    <w:p>
      <w:pPr>
        <w:pStyle w:val="ListBullet"/>
        <w:ind w:left="850"/>
      </w:pPr>
      <w:r>
        <w:t>引入人工评估，与自动评测指标进行对比验证</w:t>
      </w:r>
    </w:p>
    <w:p>
      <w:pPr>
        <w:pStyle w:val="ListBullet"/>
        <w:ind w:left="850"/>
      </w:pPr>
      <w:r>
        <w:t>探索更多 baseline 方法（如 IdeaBench、SciMON 等）的对比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微软雅黑" w:hAnsi="微软雅黑" w:eastAsia="微软雅黑"/>
      <w:b/>
      <w:bCs/>
      <w:color w:val="1A56DB"/>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微软雅黑" w:hAnsi="微软雅黑" w:eastAsia="微软雅黑"/>
      <w:b/>
      <w:bCs/>
      <w:color w:val="1A56DB"/>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微软雅黑" w:hAnsi="微软雅黑" w:eastAsia="微软雅黑"/>
      <w:b/>
      <w:bCs/>
      <w:color w:val="1A56D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