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跨学科知识抽取与假设生成系统</w:t>
      </w:r>
    </w:p>
    <w:p>
      <w:pPr>
        <w:jc w:val="center"/>
      </w:pPr>
      <w:r>
        <w:rPr>
          <w:color w:val="666666"/>
          <w:sz w:val="32"/>
        </w:rPr>
        <w:t>Nature Communications 100篇全流程测试报告</w:t>
      </w:r>
    </w:p>
    <w:p/>
    <w:p>
      <w:pPr>
        <w:jc w:val="center"/>
      </w:pPr>
      <w:r>
        <w:rPr>
          <w:color w:val="999999"/>
          <w:sz w:val="24"/>
        </w:rPr>
        <w:t>生成日期: 2026-03-12</w:t>
      </w:r>
    </w:p>
    <w:p>
      <w:r>
        <w:br w:type="page"/>
      </w:r>
    </w:p>
    <w:p>
      <w:pPr>
        <w:pStyle w:val="Heading1"/>
      </w:pPr>
      <w:r>
        <w:t>目录</w:t>
      </w:r>
    </w:p>
    <w:p>
      <w:pPr>
        <w:pStyle w:val="ListBullet"/>
        <w:ind w:left="850"/>
      </w:pPr>
      <w:r>
        <w:t>一、项目概述与流程总览</w:t>
      </w:r>
    </w:p>
    <w:p>
      <w:pPr>
        <w:pStyle w:val="ListBullet"/>
        <w:ind w:left="850"/>
      </w:pPr>
      <w:r>
        <w:t>二、Stage 1：学科分类与跨学科筛选</w:t>
      </w:r>
    </w:p>
    <w:p>
      <w:pPr>
        <w:pStyle w:val="ListBullet"/>
        <w:ind w:left="850"/>
      </w:pPr>
      <w:r>
        <w:t>三、Stage 2a：概念抽取</w:t>
      </w:r>
    </w:p>
    <w:p>
      <w:pPr>
        <w:pStyle w:val="ListBullet"/>
        <w:ind w:left="850"/>
      </w:pPr>
      <w:r>
        <w:t>四、Stage 2b：跨学科关系抽取</w:t>
      </w:r>
    </w:p>
    <w:p>
      <w:pPr>
        <w:pStyle w:val="ListBullet"/>
        <w:ind w:left="850"/>
      </w:pPr>
      <w:r>
        <w:t>五、Stage 2c：三级查询生成</w:t>
      </w:r>
    </w:p>
    <w:p>
      <w:pPr>
        <w:pStyle w:val="ListBullet"/>
        <w:ind w:left="850"/>
      </w:pPr>
      <w:r>
        <w:t>六、Stage 2d：三级假设生成</w:t>
      </w:r>
    </w:p>
    <w:p>
      <w:pPr>
        <w:pStyle w:val="ListBullet"/>
        <w:ind w:left="850"/>
      </w:pPr>
      <w:r>
        <w:t>七、Stage 2e：知识图谱构建与指标</w:t>
      </w:r>
    </w:p>
    <w:p>
      <w:pPr>
        <w:pStyle w:val="ListBullet"/>
        <w:ind w:left="850"/>
      </w:pPr>
      <w:r>
        <w:t>八、Stage 3：Benchmark GT 数据集构建</w:t>
      </w:r>
    </w:p>
    <w:p>
      <w:pPr>
        <w:pStyle w:val="ListBullet"/>
        <w:ind w:left="850"/>
      </w:pPr>
      <w:r>
        <w:t>九、Stage 4：P1-P5 五级 Prompt 消融实验</w:t>
      </w:r>
    </w:p>
    <w:p>
      <w:pPr>
        <w:pStyle w:val="ListBullet"/>
        <w:ind w:left="850"/>
      </w:pPr>
      <w:r>
        <w:t>十、Stage 5：多维度评测结果</w:t>
      </w:r>
    </w:p>
    <w:p>
      <w:pPr>
        <w:pStyle w:val="ListBullet"/>
        <w:ind w:left="850"/>
      </w:pPr>
      <w:r>
        <w:t>十一、Stage 6：KG-based 结构化评测</w:t>
      </w:r>
    </w:p>
    <w:p>
      <w:pPr>
        <w:pStyle w:val="ListBullet"/>
        <w:ind w:left="850"/>
      </w:pPr>
      <w:r>
        <w:t>十二、总结与展望</w:t>
      </w:r>
    </w:p>
    <w:p>
      <w:r>
        <w:br w:type="page"/>
      </w:r>
    </w:p>
    <w:p>
      <w:pPr>
        <w:pStyle w:val="Heading1"/>
      </w:pPr>
      <w:r>
        <w:t>一、项目概述与流程总览</w:t>
      </w:r>
    </w:p>
    <w:p>
      <w:r>
        <w:t>本报告展示了跨学科知识抽取与假设生成系统在 Nature Communications 100 篇论文上的全流程测试结果。系统从学术论文中自动抽取跨学科概念、关系，生成结构化科学假设，并通过多维度指标进行评估。</w:t>
      </w:r>
    </w:p>
    <w:p>
      <w:pPr>
        <w:pStyle w:val="Heading2"/>
      </w:pPr>
      <w:r>
        <w:t>1.1 测试数据</w:t>
      </w:r>
    </w:p>
    <w:p>
      <w:pPr>
        <w:pStyle w:val="ListBullet"/>
        <w:ind w:left="850"/>
      </w:pPr>
      <w:r>
        <w:t>数据来源: OpenAlex 2025 年 Nature Communications 论文</w:t>
      </w:r>
    </w:p>
    <w:p>
      <w:pPr>
        <w:pStyle w:val="ListBullet"/>
        <w:ind w:left="850"/>
      </w:pPr>
      <w:r>
        <w:t>筛选条件: Nature 系列期刊 + 有摘要 + 英文</w:t>
      </w:r>
    </w:p>
    <w:p>
      <w:pPr>
        <w:pStyle w:val="ListBullet"/>
        <w:ind w:left="850"/>
      </w:pPr>
      <w:r>
        <w:t>测试规模: 100 篇论文</w:t>
      </w:r>
    </w:p>
    <w:p>
      <w:pPr>
        <w:pStyle w:val="Heading2"/>
      </w:pPr>
      <w:r>
        <w:t>1.2 端到端流程</w:t>
      </w:r>
    </w:p>
    <w:p>
      <w:pPr>
        <w:spacing w:before="0" w:after="0" w:line="276" w:lineRule="auto"/>
        <w:ind w:left="567"/>
      </w:pPr>
      <w:r>
        <w:rPr>
          <w:rFonts w:ascii="Consolas" w:hAnsi="Consolas"/>
          <w:color w:val="2D2D2D"/>
          <w:sz w:val="18"/>
          <w:shd w:val="clear" w:color="auto" w:fill="F2F2F2"/>
        </w:rPr>
        <w:t>输入 (100篇论文 JSONL)</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1: 学科分类 + 跨学科筛选 (~300次 LLM 调用)</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2: 三阶段知识抽取 (概念→关系→查询→假设, ~7次/篇)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3: 构建 Benchmark GT 数据集</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4: P1-P5 五级 Prompt 假设生成 (消融实验)</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5: 多维度评测 (LLM-as-Judge + 文本相似度 + 结构化指标)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6: KG-based 结构化评测</w:t>
      </w:r>
    </w:p>
    <w:p>
      <w:r>
        <w:br w:type="page"/>
      </w:r>
    </w:p>
    <w:p>
      <w:pPr>
        <w:pStyle w:val="Heading1"/>
      </w:pPr>
      <w:r>
        <w:t>二、Stage 1：学科分类与跨学科筛选</w:t>
      </w:r>
    </w:p>
    <w:p>
      <w:r>
        <w:t>对 100 篇论文进行层级学科分类，识别主学科与辅学科，筛选出跨学科论文。分类基于 MSC 层级分类体系，每篇论文约需 3 次 LLM 调用。</w:t>
      </w:r>
    </w:p>
    <w:p>
      <w:pPr>
        <w:pStyle w:val="Heading2"/>
      </w:pPr>
      <w:r>
        <w:t>2.1 分类结果样例（3篇）</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t>材料科学, 环境科学技术</w:t>
      </w:r>
    </w:p>
    <w:p>
      <w:r>
        <w:rPr>
          <w:b/>
        </w:rPr>
        <w:t xml:space="preserve">是否跨学科: </w:t>
      </w:r>
      <w:r>
        <w:t>是</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t>材料科学</w:t>
      </w:r>
    </w:p>
    <w:p>
      <w:r>
        <w:rPr>
          <w:b/>
        </w:rPr>
        <w:t xml:space="preserve">是否跨学科: </w:t>
      </w:r>
      <w:r>
        <w:t>是</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t>材料科学</w:t>
      </w:r>
    </w:p>
    <w:p>
      <w:r>
        <w:rPr>
          <w:b/>
        </w:rPr>
        <w:t xml:space="preserve">是否跨学科: </w:t>
      </w:r>
      <w:r>
        <w:t>是</w:t>
      </w:r>
    </w:p>
    <w:p/>
    <w:p>
      <w:r>
        <w:br w:type="page"/>
      </w:r>
    </w:p>
    <w:p>
      <w:pPr>
        <w:pStyle w:val="Heading1"/>
      </w:pPr>
      <w:r>
        <w:t>三、Stage 2a：概念抽取</w:t>
      </w:r>
    </w:p>
    <w:p>
      <w:r>
        <w:t>从论文标题和摘要中抽取专业术语，按主学科和辅学科分组。每个术语包含标准化形式、原文证据和置信度。</w:t>
      </w:r>
    </w:p>
    <w:p>
      <w:pPr>
        <w:pStyle w:val="Heading2"/>
      </w:pPr>
      <w:r>
        <w:t>3.1 概念抽取样例（3篇）</w:t>
      </w:r>
    </w:p>
    <w:p>
      <w:pPr>
        <w:pStyle w:val="Heading3"/>
      </w:pPr>
      <w:r>
        <w:t>样例 1: Nano-island-encapsulated cobalt single-atom catalysts for breaking activity-stab...</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Single-atom catalysts (SACs)</w:t>
            </w:r>
          </w:p>
        </w:tc>
        <w:tc>
          <w:tcPr>
            <w:tcW w:type="dxa" w:w="1984"/>
          </w:tcPr>
          <w:p>
            <w:r>
              <w:rPr>
                <w:sz w:val="20"/>
              </w:rPr>
              <w:t>单原子催化剂</w:t>
            </w:r>
          </w:p>
        </w:tc>
        <w:tc>
          <w:tcPr>
            <w:tcW w:type="dxa" w:w="3402"/>
          </w:tcPr>
          <w:p>
            <w:r>
              <w:rPr>
                <w:sz w:val="20"/>
              </w:rPr>
              <w:t>Single-atom catalysts (SACs) have been increasingl...</w:t>
            </w:r>
          </w:p>
        </w:tc>
        <w:tc>
          <w:tcPr>
            <w:tcW w:type="dxa" w:w="850"/>
          </w:tcPr>
          <w:p>
            <w:r>
              <w:rPr>
                <w:sz w:val="20"/>
              </w:rPr>
              <w:t>1.0</w:t>
            </w:r>
          </w:p>
        </w:tc>
      </w:tr>
      <w:tr>
        <w:tc>
          <w:tcPr>
            <w:tcW w:type="dxa" w:w="1701"/>
          </w:tcPr>
          <w:p>
            <w:r>
              <w:rPr>
                <w:sz w:val="20"/>
              </w:rPr>
              <w:t>Fenton-like catalysis</w:t>
            </w:r>
          </w:p>
        </w:tc>
        <w:tc>
          <w:tcPr>
            <w:tcW w:type="dxa" w:w="1984"/>
          </w:tcPr>
          <w:p>
            <w:r>
              <w:rPr>
                <w:sz w:val="20"/>
              </w:rPr>
              <w:t>类芬顿催化</w:t>
            </w:r>
          </w:p>
        </w:tc>
        <w:tc>
          <w:tcPr>
            <w:tcW w:type="dxa" w:w="3402"/>
          </w:tcPr>
          <w:p>
            <w:r>
              <w:rPr>
                <w:sz w:val="20"/>
              </w:rPr>
              <w:t>Single-atom catalysts (SACs) have been increasingl...</w:t>
            </w:r>
          </w:p>
        </w:tc>
        <w:tc>
          <w:tcPr>
            <w:tcW w:type="dxa" w:w="850"/>
          </w:tcPr>
          <w:p>
            <w:r>
              <w:rPr>
                <w:sz w:val="20"/>
              </w:rPr>
              <w:t>1.0</w:t>
            </w:r>
          </w:p>
        </w:tc>
      </w:tr>
      <w:tr>
        <w:tc>
          <w:tcPr>
            <w:tcW w:type="dxa" w:w="1701"/>
          </w:tcPr>
          <w:p>
            <w:r>
              <w:rPr>
                <w:sz w:val="20"/>
              </w:rPr>
              <w:t>peroxymonosulfate (PMS)</w:t>
            </w:r>
          </w:p>
        </w:tc>
        <w:tc>
          <w:tcPr>
            <w:tcW w:type="dxa" w:w="1984"/>
          </w:tcPr>
          <w:p>
            <w:r>
              <w:rPr>
                <w:sz w:val="20"/>
              </w:rPr>
              <w:t>过硫酸氢盐</w:t>
            </w:r>
          </w:p>
        </w:tc>
        <w:tc>
          <w:tcPr>
            <w:tcW w:type="dxa" w:w="3402"/>
          </w:tcPr>
          <w:p>
            <w:r>
              <w:rPr>
                <w:sz w:val="20"/>
              </w:rPr>
              <w:t>However, SACs face a trade-off between activity an...</w:t>
            </w:r>
          </w:p>
        </w:tc>
        <w:tc>
          <w:tcPr>
            <w:tcW w:type="dxa" w:w="850"/>
          </w:tcPr>
          <w:p>
            <w:r>
              <w:rPr>
                <w:sz w:val="20"/>
              </w:rPr>
              <w:t>1.0</w:t>
            </w:r>
          </w:p>
        </w:tc>
      </w:tr>
      <w:tr>
        <w:tc>
          <w:tcPr>
            <w:tcW w:type="dxa" w:w="1701"/>
          </w:tcPr>
          <w:p>
            <w:r>
              <w:rPr>
                <w:sz w:val="20"/>
              </w:rPr>
              <w:t>nano-island encapsulated single cobalt atom (CoSA/Zn.O-ZnO)</w:t>
            </w:r>
          </w:p>
        </w:tc>
        <w:tc>
          <w:tcPr>
            <w:tcW w:type="dxa" w:w="1984"/>
          </w:tcPr>
          <w:p>
            <w:r>
              <w:rPr>
                <w:sz w:val="20"/>
              </w:rPr>
              <w:t>纳米岛封装单钴原子催化剂</w:t>
            </w:r>
          </w:p>
        </w:tc>
        <w:tc>
          <w:tcPr>
            <w:tcW w:type="dxa" w:w="3402"/>
          </w:tcPr>
          <w:p>
            <w:r>
              <w:rPr>
                <w:sz w:val="20"/>
              </w:rPr>
              <w:t>Herein, we design a nano-island encapsulated singl...</w:t>
            </w:r>
          </w:p>
        </w:tc>
        <w:tc>
          <w:tcPr>
            <w:tcW w:type="dxa" w:w="850"/>
          </w:tcPr>
          <w:p>
            <w:r>
              <w:rPr>
                <w:sz w:val="20"/>
              </w:rPr>
              <w:t>1.0</w:t>
            </w:r>
          </w:p>
        </w:tc>
      </w:tr>
      <w:tr>
        <w:tc>
          <w:tcPr>
            <w:tcW w:type="dxa" w:w="1701"/>
          </w:tcPr>
          <w:p>
            <w:r>
              <w:rPr>
                <w:sz w:val="20"/>
              </w:rPr>
              <w:t>sulfate radicals (SO4•-)</w:t>
            </w:r>
          </w:p>
        </w:tc>
        <w:tc>
          <w:tcPr>
            <w:tcW w:type="dxa" w:w="1984"/>
          </w:tcPr>
          <w:p>
            <w:r>
              <w:rPr>
                <w:sz w:val="20"/>
              </w:rPr>
              <w:t>硫酸根自由基</w:t>
            </w:r>
          </w:p>
        </w:tc>
        <w:tc>
          <w:tcPr>
            <w:tcW w:type="dxa" w:w="3402"/>
          </w:tcPr>
          <w:p>
            <w:r>
              <w:rPr>
                <w:sz w:val="20"/>
              </w:rPr>
              <w:t>The CoSA/Zn.O-ZnO/PMS system exhibits a remarkable...</w:t>
            </w:r>
          </w:p>
        </w:tc>
        <w:tc>
          <w:tcPr>
            <w:tcW w:type="dxa" w:w="850"/>
          </w:tcPr>
          <w:p>
            <w:r>
              <w:rPr>
                <w:sz w:val="20"/>
              </w:rPr>
              <w:t>1.0</w:t>
            </w:r>
          </w:p>
        </w:tc>
      </w:tr>
      <w:tr>
        <w:tc>
          <w:tcPr>
            <w:tcW w:type="dxa" w:w="1701"/>
          </w:tcPr>
          <w:p>
            <w:r>
              <w:rPr>
                <w:sz w:val="20"/>
              </w:rPr>
              <w:t>activity-stability trade-off</w:t>
            </w:r>
          </w:p>
        </w:tc>
        <w:tc>
          <w:tcPr>
            <w:tcW w:type="dxa" w:w="1984"/>
          </w:tcPr>
          <w:p>
            <w:r>
              <w:rPr>
                <w:sz w:val="20"/>
              </w:rPr>
              <w:t>活性-稳定性权衡</w:t>
            </w:r>
          </w:p>
        </w:tc>
        <w:tc>
          <w:tcPr>
            <w:tcW w:type="dxa" w:w="3402"/>
          </w:tcPr>
          <w:p>
            <w:r>
              <w:rPr>
                <w:sz w:val="20"/>
              </w:rPr>
              <w:t>The design effectively breaks the activity-stabili...</w:t>
            </w:r>
          </w:p>
        </w:tc>
        <w:tc>
          <w:tcPr>
            <w:tcW w:type="dxa" w:w="850"/>
          </w:tcPr>
          <w:p>
            <w:r>
              <w:rPr>
                <w:sz w:val="20"/>
              </w:rPr>
              <w:t>1.0</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nano-island encapsulated single cobalt atom (CoSA/Zn.O-ZnO)</w:t>
            </w:r>
          </w:p>
        </w:tc>
        <w:tc>
          <w:tcPr>
            <w:tcW w:type="dxa" w:w="2835"/>
          </w:tcPr>
          <w:p>
            <w:r>
              <w:rPr>
                <w:sz w:val="20"/>
              </w:rPr>
              <w:t>纳米岛封装单钴原子催化剂</w:t>
            </w:r>
          </w:p>
        </w:tc>
        <w:tc>
          <w:tcPr>
            <w:tcW w:type="dxa" w:w="1134"/>
          </w:tcPr>
          <w:p>
            <w:r>
              <w:rPr>
                <w:sz w:val="20"/>
              </w:rPr>
              <w:t>1.0</w:t>
            </w:r>
          </w:p>
        </w:tc>
      </w:tr>
      <w:tr>
        <w:tc>
          <w:tcPr>
            <w:tcW w:type="dxa" w:w="2268"/>
          </w:tcPr>
          <w:p>
            <w:r>
              <w:rPr>
                <w:sz w:val="20"/>
              </w:rPr>
              <w:t>ZnO nanoparticles</w:t>
            </w:r>
          </w:p>
        </w:tc>
        <w:tc>
          <w:tcPr>
            <w:tcW w:type="dxa" w:w="2835"/>
          </w:tcPr>
          <w:p>
            <w:r>
              <w:rPr>
                <w:sz w:val="20"/>
              </w:rPr>
              <w:t>氧化锌纳米颗粒</w:t>
            </w:r>
          </w:p>
        </w:tc>
        <w:tc>
          <w:tcPr>
            <w:tcW w:type="dxa" w:w="1134"/>
          </w:tcPr>
          <w:p>
            <w:r>
              <w:rPr>
                <w:sz w:val="20"/>
              </w:rPr>
              <w:t>1.0</w:t>
            </w:r>
          </w:p>
        </w:tc>
      </w:tr>
      <w:tr>
        <w:tc>
          <w:tcPr>
            <w:tcW w:type="dxa" w:w="2268"/>
          </w:tcPr>
          <w:p>
            <w:r>
              <w:rPr>
                <w:sz w:val="20"/>
              </w:rPr>
              <w:t>ZnO substrate</w:t>
            </w:r>
          </w:p>
        </w:tc>
        <w:tc>
          <w:tcPr>
            <w:tcW w:type="dxa" w:w="2835"/>
          </w:tcPr>
          <w:p>
            <w:r>
              <w:rPr>
                <w:sz w:val="20"/>
              </w:rPr>
              <w:t>氧化锌基底</w:t>
            </w:r>
          </w:p>
        </w:tc>
        <w:tc>
          <w:tcPr>
            <w:tcW w:type="dxa" w:w="1134"/>
          </w:tcPr>
          <w:p>
            <w:r>
              <w:rPr>
                <w:sz w:val="20"/>
              </w:rPr>
              <w:t>1.0</w:t>
            </w:r>
          </w:p>
        </w:tc>
      </w:tr>
      <w:tr>
        <w:tc>
          <w:tcPr>
            <w:tcW w:type="dxa" w:w="2268"/>
          </w:tcPr>
          <w:p>
            <w:r>
              <w:rPr>
                <w:sz w:val="20"/>
              </w:rPr>
              <w:t>carbon materials</w:t>
            </w:r>
          </w:p>
        </w:tc>
        <w:tc>
          <w:tcPr>
            <w:tcW w:type="dxa" w:w="2835"/>
          </w:tcPr>
          <w:p>
            <w:r>
              <w:rPr>
                <w:sz w:val="20"/>
              </w:rPr>
              <w:t>碳材料</w:t>
            </w:r>
          </w:p>
        </w:tc>
        <w:tc>
          <w:tcPr>
            <w:tcW w:type="dxa" w:w="1134"/>
          </w:tcPr>
          <w:p>
            <w:r>
              <w:rPr>
                <w:sz w:val="20"/>
              </w:rPr>
              <w:t>1.0</w:t>
            </w:r>
          </w:p>
        </w:tc>
      </w:tr>
    </w:tbl>
    <w:p/>
    <w:p>
      <w:r>
        <w:rPr>
          <w:b/>
        </w:rPr>
        <w:t xml:space="preserve">辅学科 [环境科学技术]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contaminant degradation</w:t>
            </w:r>
          </w:p>
        </w:tc>
        <w:tc>
          <w:tcPr>
            <w:tcW w:type="dxa" w:w="2835"/>
          </w:tcPr>
          <w:p>
            <w:r>
              <w:rPr>
                <w:sz w:val="20"/>
              </w:rPr>
              <w:t>污染物降解</w:t>
            </w:r>
          </w:p>
        </w:tc>
        <w:tc>
          <w:tcPr>
            <w:tcW w:type="dxa" w:w="1134"/>
          </w:tcPr>
          <w:p>
            <w:r>
              <w:rPr>
                <w:sz w:val="20"/>
              </w:rPr>
              <w:t>1.0</w:t>
            </w:r>
          </w:p>
        </w:tc>
      </w:tr>
      <w:tr>
        <w:tc>
          <w:tcPr>
            <w:tcW w:type="dxa" w:w="2268"/>
          </w:tcPr>
          <w:p>
            <w:r>
              <w:rPr>
                <w:sz w:val="20"/>
              </w:rPr>
              <w:t>recalcitrant pollutants</w:t>
            </w:r>
          </w:p>
        </w:tc>
        <w:tc>
          <w:tcPr>
            <w:tcW w:type="dxa" w:w="2835"/>
          </w:tcPr>
          <w:p>
            <w:r>
              <w:rPr>
                <w:sz w:val="20"/>
              </w:rPr>
              <w:t>难降解污染物</w:t>
            </w:r>
          </w:p>
        </w:tc>
        <w:tc>
          <w:tcPr>
            <w:tcW w:type="dxa" w:w="1134"/>
          </w:tcPr>
          <w:p>
            <w:r>
              <w:rPr>
                <w:sz w:val="20"/>
              </w:rPr>
              <w:t>1.0</w:t>
            </w:r>
          </w:p>
        </w:tc>
      </w:tr>
      <w:tr>
        <w:tc>
          <w:tcPr>
            <w:tcW w:type="dxa" w:w="2268"/>
          </w:tcPr>
          <w:p>
            <w:r>
              <w:rPr>
                <w:sz w:val="20"/>
              </w:rPr>
              <w:t>water matrices</w:t>
            </w:r>
          </w:p>
        </w:tc>
        <w:tc>
          <w:tcPr>
            <w:tcW w:type="dxa" w:w="2835"/>
          </w:tcPr>
          <w:p>
            <w:r>
              <w:rPr>
                <w:sz w:val="20"/>
              </w:rPr>
              <w:t>水体基质</w:t>
            </w:r>
          </w:p>
        </w:tc>
        <w:tc>
          <w:tcPr>
            <w:tcW w:type="dxa" w:w="1134"/>
          </w:tcPr>
          <w:p>
            <w:r>
              <w:rPr>
                <w:sz w:val="20"/>
              </w:rPr>
              <w:t>1.0</w:t>
            </w:r>
          </w:p>
        </w:tc>
      </w:tr>
      <w:tr>
        <w:tc>
          <w:tcPr>
            <w:tcW w:type="dxa" w:w="2268"/>
          </w:tcPr>
          <w:p>
            <w:r>
              <w:rPr>
                <w:sz w:val="20"/>
              </w:rPr>
              <w:t>Persistent organic pollutants</w:t>
            </w:r>
          </w:p>
        </w:tc>
        <w:tc>
          <w:tcPr>
            <w:tcW w:type="dxa" w:w="2835"/>
          </w:tcPr>
          <w:p>
            <w:r>
              <w:rPr>
                <w:sz w:val="20"/>
              </w:rPr>
              <w:t>持久性有机污染物</w:t>
            </w:r>
          </w:p>
        </w:tc>
        <w:tc>
          <w:tcPr>
            <w:tcW w:type="dxa" w:w="1134"/>
          </w:tcPr>
          <w:p>
            <w:r>
              <w:rPr>
                <w:sz w:val="20"/>
              </w:rPr>
              <w:t>1.0</w:t>
            </w:r>
          </w:p>
        </w:tc>
      </w:tr>
    </w:tbl>
    <w:p/>
    <w:p/>
    <w:p>
      <w:pPr>
        <w:pStyle w:val="Heading3"/>
      </w:pPr>
      <w:r>
        <w:t>样例 2: High-entropy alloy enables multi-path electron synergism and lattice oxygen acti...</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Electrocatalytic oxygen evolution reaction (OER)</w:t>
            </w:r>
          </w:p>
        </w:tc>
        <w:tc>
          <w:tcPr>
            <w:tcW w:type="dxa" w:w="1984"/>
          </w:tcPr>
          <w:p>
            <w:r>
              <w:rPr>
                <w:sz w:val="20"/>
              </w:rPr>
              <w:t>电催化氧析出反应</w:t>
            </w:r>
          </w:p>
        </w:tc>
        <w:tc>
          <w:tcPr>
            <w:tcW w:type="dxa" w:w="3402"/>
          </w:tcPr>
          <w:p>
            <w:r>
              <w:rPr>
                <w:sz w:val="20"/>
              </w:rPr>
              <w:t>Electrocatalytic oxygen evolution reaction (OER) i...</w:t>
            </w:r>
          </w:p>
        </w:tc>
        <w:tc>
          <w:tcPr>
            <w:tcW w:type="dxa" w:w="850"/>
          </w:tcPr>
          <w:p>
            <w:r>
              <w:rPr>
                <w:sz w:val="20"/>
              </w:rPr>
              <w:t>1.0</w:t>
            </w:r>
          </w:p>
        </w:tc>
      </w:tr>
      <w:tr>
        <w:tc>
          <w:tcPr>
            <w:tcW w:type="dxa" w:w="1701"/>
          </w:tcPr>
          <w:p>
            <w:r>
              <w:rPr>
                <w:sz w:val="20"/>
              </w:rPr>
              <w:t>lattice oxygen activation mechanism (LOM)</w:t>
            </w:r>
          </w:p>
        </w:tc>
        <w:tc>
          <w:tcPr>
            <w:tcW w:type="dxa" w:w="1984"/>
          </w:tcPr>
          <w:p>
            <w:r>
              <w:rPr>
                <w:sz w:val="20"/>
              </w:rPr>
              <w:t>晶格氧活化机制</w:t>
            </w:r>
          </w:p>
        </w:tc>
        <w:tc>
          <w:tcPr>
            <w:tcW w:type="dxa" w:w="3402"/>
          </w:tcPr>
          <w:p>
            <w:r>
              <w:rPr>
                <w:sz w:val="20"/>
              </w:rPr>
              <w:t>Leveraging the lattice oxygen activation mechanism...</w:t>
            </w:r>
          </w:p>
        </w:tc>
        <w:tc>
          <w:tcPr>
            <w:tcW w:type="dxa" w:w="850"/>
          </w:tcPr>
          <w:p>
            <w:r>
              <w:rPr>
                <w:sz w:val="20"/>
              </w:rPr>
              <w:t>1.0</w:t>
            </w:r>
          </w:p>
        </w:tc>
      </w:tr>
      <w:tr>
        <w:tc>
          <w:tcPr>
            <w:tcW w:type="dxa" w:w="1701"/>
          </w:tcPr>
          <w:p>
            <w:r>
              <w:rPr>
                <w:sz w:val="20"/>
              </w:rPr>
              <w:t>high-entropy alloys (HEAs)</w:t>
            </w:r>
          </w:p>
        </w:tc>
        <w:tc>
          <w:tcPr>
            <w:tcW w:type="dxa" w:w="1984"/>
          </w:tcPr>
          <w:p>
            <w:r>
              <w:rPr>
                <w:sz w:val="20"/>
              </w:rPr>
              <w:t>高熵合金</w:t>
            </w:r>
          </w:p>
        </w:tc>
        <w:tc>
          <w:tcPr>
            <w:tcW w:type="dxa" w:w="3402"/>
          </w:tcPr>
          <w:p>
            <w:r>
              <w:rPr>
                <w:sz w:val="20"/>
              </w:rPr>
              <w:t>We reveal that high-entropy alloys (HEAs) can effi...</w:t>
            </w:r>
          </w:p>
        </w:tc>
        <w:tc>
          <w:tcPr>
            <w:tcW w:type="dxa" w:w="850"/>
          </w:tcPr>
          <w:p>
            <w:r>
              <w:rPr>
                <w:sz w:val="20"/>
              </w:rPr>
              <w:t>1.0</w:t>
            </w:r>
          </w:p>
        </w:tc>
      </w:tr>
      <w:tr>
        <w:tc>
          <w:tcPr>
            <w:tcW w:type="dxa" w:w="1701"/>
          </w:tcPr>
          <w:p>
            <w:r>
              <w:rPr>
                <w:sz w:val="20"/>
              </w:rPr>
              <w:t>Ni-Co dual-site</w:t>
            </w:r>
          </w:p>
        </w:tc>
        <w:tc>
          <w:tcPr>
            <w:tcW w:type="dxa" w:w="1984"/>
          </w:tcPr>
          <w:p>
            <w:r>
              <w:rPr>
                <w:sz w:val="20"/>
              </w:rPr>
              <w:t>镍钴双位点</w:t>
            </w:r>
          </w:p>
        </w:tc>
        <w:tc>
          <w:tcPr>
            <w:tcW w:type="dxa" w:w="3402"/>
          </w:tcPr>
          <w:p>
            <w:r>
              <w:rPr>
                <w:sz w:val="20"/>
              </w:rPr>
              <w:t>enabling effective LOM at the Ni-Co dual-site.</w:t>
            </w:r>
          </w:p>
        </w:tc>
        <w:tc>
          <w:tcPr>
            <w:tcW w:type="dxa" w:w="850"/>
          </w:tcPr>
          <w:p>
            <w:r>
              <w:rPr>
                <w:sz w:val="20"/>
              </w:rPr>
              <w:t>1.0</w:t>
            </w:r>
          </w:p>
        </w:tc>
      </w:tr>
      <w:tr>
        <w:tc>
          <w:tcPr>
            <w:tcW w:type="dxa" w:w="1701"/>
          </w:tcPr>
          <w:p>
            <w:r>
              <w:rPr>
                <w:sz w:val="20"/>
              </w:rPr>
              <w:t>NiFeCoCrW&lt;sub&gt;0.2&lt;/sub&gt; HEA</w:t>
            </w:r>
          </w:p>
        </w:tc>
        <w:tc>
          <w:tcPr>
            <w:tcW w:type="dxa" w:w="1984"/>
          </w:tcPr>
          <w:p>
            <w:r>
              <w:rPr>
                <w:sz w:val="20"/>
              </w:rPr>
              <w:t>高熵合金</w:t>
            </w:r>
          </w:p>
        </w:tc>
        <w:tc>
          <w:tcPr>
            <w:tcW w:type="dxa" w:w="3402"/>
          </w:tcPr>
          <w:p>
            <w:r>
              <w:rPr>
                <w:sz w:val="20"/>
              </w:rPr>
              <w:t>These insights allow the design of a NiFeCoCrW&lt;sub...</w:t>
            </w:r>
          </w:p>
        </w:tc>
        <w:tc>
          <w:tcPr>
            <w:tcW w:type="dxa" w:w="850"/>
          </w:tcPr>
          <w:p>
            <w:r>
              <w:rPr>
                <w:sz w:val="20"/>
              </w:rPr>
              <w:t>1.0</w:t>
            </w:r>
          </w:p>
        </w:tc>
      </w:tr>
      <w:tr>
        <w:tc>
          <w:tcPr>
            <w:tcW w:type="dxa" w:w="1701"/>
          </w:tcPr>
          <w:p>
            <w:r>
              <w:rPr>
                <w:sz w:val="20"/>
              </w:rPr>
              <w:t>overpotential</w:t>
            </w:r>
          </w:p>
        </w:tc>
        <w:tc>
          <w:tcPr>
            <w:tcW w:type="dxa" w:w="1984"/>
          </w:tcPr>
          <w:p>
            <w:r>
              <w:rPr>
                <w:sz w:val="20"/>
              </w:rPr>
              <w:t>过电位</w:t>
            </w:r>
          </w:p>
        </w:tc>
        <w:tc>
          <w:tcPr>
            <w:tcW w:type="dxa" w:w="3402"/>
          </w:tcPr>
          <w:p>
            <w:r>
              <w:rPr>
                <w:sz w:val="20"/>
              </w:rPr>
              <w:t>achieving an overpotential of 220 mV at a current ...</w:t>
            </w:r>
          </w:p>
        </w:tc>
        <w:tc>
          <w:tcPr>
            <w:tcW w:type="dxa" w:w="850"/>
          </w:tcPr>
          <w:p>
            <w:r>
              <w:rPr>
                <w:sz w:val="20"/>
              </w:rPr>
              <w:t>1.0</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Co-O bonds</w:t>
            </w:r>
          </w:p>
        </w:tc>
        <w:tc>
          <w:tcPr>
            <w:tcW w:type="dxa" w:w="2835"/>
          </w:tcPr>
          <w:p>
            <w:r>
              <w:rPr>
                <w:sz w:val="20"/>
              </w:rPr>
              <w:t>钴氧键</w:t>
            </w:r>
          </w:p>
        </w:tc>
        <w:tc>
          <w:tcPr>
            <w:tcW w:type="dxa" w:w="1134"/>
          </w:tcPr>
          <w:p>
            <w:r>
              <w:rPr>
                <w:sz w:val="20"/>
              </w:rPr>
              <w:t>1.0</w:t>
            </w:r>
          </w:p>
        </w:tc>
      </w:tr>
      <w:tr>
        <w:tc>
          <w:tcPr>
            <w:tcW w:type="dxa" w:w="2268"/>
          </w:tcPr>
          <w:p>
            <w:r>
              <w:rPr>
                <w:sz w:val="20"/>
              </w:rPr>
              <w:t>Ni(OH)2</w:t>
            </w:r>
          </w:p>
        </w:tc>
        <w:tc>
          <w:tcPr>
            <w:tcW w:type="dxa" w:w="2835"/>
          </w:tcPr>
          <w:p>
            <w:r>
              <w:rPr>
                <w:sz w:val="20"/>
              </w:rPr>
              <w:t>氢氧化镍</w:t>
            </w:r>
          </w:p>
        </w:tc>
        <w:tc>
          <w:tcPr>
            <w:tcW w:type="dxa" w:w="1134"/>
          </w:tcPr>
          <w:p>
            <w:r>
              <w:rPr>
                <w:sz w:val="20"/>
              </w:rPr>
              <w:t>1.0</w:t>
            </w:r>
          </w:p>
        </w:tc>
      </w:tr>
      <w:tr>
        <w:tc>
          <w:tcPr>
            <w:tcW w:type="dxa" w:w="2268"/>
          </w:tcPr>
          <w:p>
            <w:r>
              <w:rPr>
                <w:sz w:val="20"/>
              </w:rPr>
              <w:t>TMAOH</w:t>
            </w:r>
          </w:p>
        </w:tc>
        <w:tc>
          <w:tcPr>
            <w:tcW w:type="dxa" w:w="2835"/>
          </w:tcPr>
          <w:p>
            <w:r>
              <w:rPr>
                <w:sz w:val="20"/>
              </w:rPr>
              <w:t>四甲基氢氧化铵</w:t>
            </w:r>
          </w:p>
        </w:tc>
        <w:tc>
          <w:tcPr>
            <w:tcW w:type="dxa" w:w="1134"/>
          </w:tcPr>
          <w:p>
            <w:r>
              <w:rPr>
                <w:sz w:val="20"/>
              </w:rPr>
              <w:t>1.0</w:t>
            </w:r>
          </w:p>
        </w:tc>
      </w:tr>
      <w:tr>
        <w:tc>
          <w:tcPr>
            <w:tcW w:type="dxa" w:w="2268"/>
          </w:tcPr>
          <w:p>
            <w:r>
              <w:rPr>
                <w:sz w:val="20"/>
              </w:rPr>
              <w:t>KOH</w:t>
            </w:r>
          </w:p>
        </w:tc>
        <w:tc>
          <w:tcPr>
            <w:tcW w:type="dxa" w:w="2835"/>
          </w:tcPr>
          <w:p>
            <w:r>
              <w:rPr>
                <w:sz w:val="20"/>
              </w:rPr>
              <w:t>氢氧化钾</w:t>
            </w:r>
          </w:p>
        </w:tc>
        <w:tc>
          <w:tcPr>
            <w:tcW w:type="dxa" w:w="1134"/>
          </w:tcPr>
          <w:p>
            <w:r>
              <w:rPr>
                <w:sz w:val="20"/>
              </w:rPr>
              <w:t>1.0</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high-entropy structure</w:t>
            </w:r>
          </w:p>
        </w:tc>
        <w:tc>
          <w:tcPr>
            <w:tcW w:type="dxa" w:w="2835"/>
          </w:tcPr>
          <w:p>
            <w:r>
              <w:rPr>
                <w:sz w:val="20"/>
              </w:rPr>
              <w:t>高熵结构</w:t>
            </w:r>
          </w:p>
        </w:tc>
        <w:tc>
          <w:tcPr>
            <w:tcW w:type="dxa" w:w="1134"/>
          </w:tcPr>
          <w:p>
            <w:r>
              <w:rPr>
                <w:sz w:val="20"/>
              </w:rPr>
              <w:t>1.0</w:t>
            </w:r>
          </w:p>
        </w:tc>
      </w:tr>
      <w:tr>
        <w:tc>
          <w:tcPr>
            <w:tcW w:type="dxa" w:w="2268"/>
          </w:tcPr>
          <w:p>
            <w:r>
              <w:rPr>
                <w:sz w:val="20"/>
              </w:rPr>
              <w:t>NiFeCoCrW0.2</w:t>
            </w:r>
          </w:p>
        </w:tc>
        <w:tc>
          <w:tcPr>
            <w:tcW w:type="dxa" w:w="2835"/>
          </w:tcPr>
          <w:p>
            <w:r>
              <w:rPr>
                <w:sz w:val="20"/>
              </w:rPr>
              <w:t>高熵合金</w:t>
            </w:r>
          </w:p>
        </w:tc>
        <w:tc>
          <w:tcPr>
            <w:tcW w:type="dxa" w:w="1134"/>
          </w:tcPr>
          <w:p>
            <w:r>
              <w:rPr>
                <w:sz w:val="20"/>
              </w:rPr>
              <w:t>1.0</w:t>
            </w:r>
          </w:p>
        </w:tc>
      </w:tr>
      <w:tr>
        <w:tc>
          <w:tcPr>
            <w:tcW w:type="dxa" w:w="2268"/>
          </w:tcPr>
          <w:p>
            <w:r>
              <w:rPr>
                <w:sz w:val="20"/>
              </w:rPr>
              <w:t>NiFeCoW0.2</w:t>
            </w:r>
          </w:p>
        </w:tc>
        <w:tc>
          <w:tcPr>
            <w:tcW w:type="dxa" w:w="2835"/>
          </w:tcPr>
          <w:p>
            <w:r>
              <w:rPr>
                <w:sz w:val="20"/>
              </w:rPr>
              <w:t>高熵合金</w:t>
            </w:r>
          </w:p>
        </w:tc>
        <w:tc>
          <w:tcPr>
            <w:tcW w:type="dxa" w:w="1134"/>
          </w:tcPr>
          <w:p>
            <w:r>
              <w:rPr>
                <w:sz w:val="20"/>
              </w:rPr>
              <w:t>1.0</w:t>
            </w:r>
          </w:p>
        </w:tc>
      </w:tr>
      <w:tr>
        <w:tc>
          <w:tcPr>
            <w:tcW w:type="dxa" w:w="2268"/>
          </w:tcPr>
          <w:p>
            <w:r>
              <w:rPr>
                <w:sz w:val="20"/>
              </w:rPr>
              <w:t>NiFeCoCr</w:t>
            </w:r>
          </w:p>
        </w:tc>
        <w:tc>
          <w:tcPr>
            <w:tcW w:type="dxa" w:w="2835"/>
          </w:tcPr>
          <w:p>
            <w:r>
              <w:rPr>
                <w:sz w:val="20"/>
              </w:rPr>
              <w:t>高熵合金</w:t>
            </w:r>
          </w:p>
        </w:tc>
        <w:tc>
          <w:tcPr>
            <w:tcW w:type="dxa" w:w="1134"/>
          </w:tcPr>
          <w:p>
            <w:r>
              <w:rPr>
                <w:sz w:val="20"/>
              </w:rPr>
              <w:t>1.0</w:t>
            </w:r>
          </w:p>
        </w:tc>
      </w:tr>
    </w:tbl>
    <w:p/>
    <w:p/>
    <w:p>
      <w:pPr>
        <w:pStyle w:val="Heading3"/>
      </w:pPr>
      <w:r>
        <w:t>样例 3: MXene-Assisted NiFe sulfides for high-performance anion exchange membrane seawat...</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anion exchange membrane seawater electrolysis</w:t>
            </w:r>
          </w:p>
        </w:tc>
        <w:tc>
          <w:tcPr>
            <w:tcW w:type="dxa" w:w="1984"/>
          </w:tcPr>
          <w:p>
            <w:r>
              <w:rPr>
                <w:sz w:val="20"/>
              </w:rPr>
              <w:t>阴离子交换膜海水电解</w:t>
            </w:r>
          </w:p>
        </w:tc>
        <w:tc>
          <w:tcPr>
            <w:tcW w:type="dxa" w:w="3402"/>
          </w:tcPr>
          <w:p>
            <w:r>
              <w:rPr>
                <w:sz w:val="20"/>
              </w:rPr>
              <w:t>Anion exchange membrane seawater electrolysis is v...</w:t>
            </w:r>
          </w:p>
        </w:tc>
        <w:tc>
          <w:tcPr>
            <w:tcW w:type="dxa" w:w="850"/>
          </w:tcPr>
          <w:p>
            <w:r>
              <w:rPr>
                <w:sz w:val="20"/>
              </w:rPr>
              <w:t>1.0</w:t>
            </w:r>
          </w:p>
        </w:tc>
      </w:tr>
      <w:tr>
        <w:tc>
          <w:tcPr>
            <w:tcW w:type="dxa" w:w="1701"/>
          </w:tcPr>
          <w:p>
            <w:r>
              <w:rPr>
                <w:sz w:val="20"/>
              </w:rPr>
              <w:t>oxygen evolution reaction electrocatalysts</w:t>
            </w:r>
          </w:p>
        </w:tc>
        <w:tc>
          <w:tcPr>
            <w:tcW w:type="dxa" w:w="1984"/>
          </w:tcPr>
          <w:p>
            <w:r>
              <w:rPr>
                <w:sz w:val="20"/>
              </w:rPr>
              <w:t>氧析出反应电催化剂</w:t>
            </w:r>
          </w:p>
        </w:tc>
        <w:tc>
          <w:tcPr>
            <w:tcW w:type="dxa" w:w="3402"/>
          </w:tcPr>
          <w:p>
            <w:r>
              <w:rPr>
                <w:sz w:val="20"/>
              </w:rPr>
              <w:t>however enduring a huge challenge that lacks high-...</w:t>
            </w:r>
          </w:p>
        </w:tc>
        <w:tc>
          <w:tcPr>
            <w:tcW w:type="dxa" w:w="850"/>
          </w:tcPr>
          <w:p>
            <w:r>
              <w:rPr>
                <w:sz w:val="20"/>
              </w:rPr>
              <w:t>1.0</w:t>
            </w:r>
          </w:p>
        </w:tc>
      </w:tr>
      <w:tr>
        <w:tc>
          <w:tcPr>
            <w:tcW w:type="dxa" w:w="1701"/>
          </w:tcPr>
          <w:p>
            <w:r>
              <w:rPr>
                <w:sz w:val="20"/>
              </w:rPr>
              <w:t>MXene (Ti&lt;sub&gt;3&lt;/sub&gt;C&lt;sub&gt;2&lt;/sub&gt;)</w:t>
            </w:r>
          </w:p>
        </w:tc>
        <w:tc>
          <w:tcPr>
            <w:tcW w:type="dxa" w:w="1984"/>
          </w:tcPr>
          <w:p>
            <w:r>
              <w:rPr>
                <w:sz w:val="20"/>
              </w:rPr>
              <w:t>MXene (Ti3C2)</w:t>
            </w:r>
          </w:p>
        </w:tc>
        <w:tc>
          <w:tcPr>
            <w:tcW w:type="dxa" w:w="3402"/>
          </w:tcPr>
          <w:p>
            <w:r>
              <w:rPr>
                <w:sz w:val="20"/>
              </w:rPr>
              <w:t>Herein, we report a robust OER electrocatalyst for...</w:t>
            </w:r>
          </w:p>
        </w:tc>
        <w:tc>
          <w:tcPr>
            <w:tcW w:type="dxa" w:w="850"/>
          </w:tcPr>
          <w:p>
            <w:r>
              <w:rPr>
                <w:sz w:val="20"/>
              </w:rPr>
              <w:t>1.0</w:t>
            </w:r>
          </w:p>
        </w:tc>
      </w:tr>
      <w:tr>
        <w:tc>
          <w:tcPr>
            <w:tcW w:type="dxa" w:w="1701"/>
          </w:tcPr>
          <w:p>
            <w:r>
              <w:rPr>
                <w:sz w:val="20"/>
              </w:rPr>
              <w:t>NiFe sulfides ((Ni,Fe)S&lt;sub&gt;2&lt;/sub&gt;@Ti&lt;sub&gt;3&lt;/sub&gt;C&lt;sub&gt;2&lt;/sub&gt;)</w:t>
            </w:r>
          </w:p>
        </w:tc>
        <w:tc>
          <w:tcPr>
            <w:tcW w:type="dxa" w:w="1984"/>
          </w:tcPr>
          <w:p>
            <w:r>
              <w:rPr>
                <w:sz w:val="20"/>
              </w:rPr>
              <w:t>硫化物</w:t>
            </w:r>
          </w:p>
        </w:tc>
        <w:tc>
          <w:tcPr>
            <w:tcW w:type="dxa" w:w="3402"/>
          </w:tcPr>
          <w:p>
            <w:r>
              <w:rPr>
                <w:sz w:val="20"/>
              </w:rPr>
              <w:t>Herein, we report a robust OER electrocatalyst for...</w:t>
            </w:r>
          </w:p>
        </w:tc>
        <w:tc>
          <w:tcPr>
            <w:tcW w:type="dxa" w:w="850"/>
          </w:tcPr>
          <w:p>
            <w:r>
              <w:rPr>
                <w:sz w:val="20"/>
              </w:rPr>
              <w:t>1.0</w:t>
            </w:r>
          </w:p>
        </w:tc>
      </w:tr>
      <w:tr>
        <w:tc>
          <w:tcPr>
            <w:tcW w:type="dxa" w:w="1701"/>
          </w:tcPr>
          <w:p>
            <w:r>
              <w:rPr>
                <w:sz w:val="20"/>
              </w:rPr>
              <w:t>lattice oxygen mechanism</w:t>
            </w:r>
          </w:p>
        </w:tc>
        <w:tc>
          <w:tcPr>
            <w:tcW w:type="dxa" w:w="1984"/>
          </w:tcPr>
          <w:p>
            <w:r>
              <w:rPr>
                <w:sz w:val="20"/>
              </w:rPr>
              <w:t>晶格氧机制</w:t>
            </w:r>
          </w:p>
        </w:tc>
        <w:tc>
          <w:tcPr>
            <w:tcW w:type="dxa" w:w="3402"/>
          </w:tcPr>
          <w:p>
            <w:r>
              <w:rPr>
                <w:sz w:val="20"/>
              </w:rPr>
              <w:t>The strong interaction between (Ni,Fe)S&lt;sub&gt;2&lt;/sub...</w:t>
            </w:r>
          </w:p>
        </w:tc>
        <w:tc>
          <w:tcPr>
            <w:tcW w:type="dxa" w:w="850"/>
          </w:tcPr>
          <w:p>
            <w:r>
              <w:rPr>
                <w:sz w:val="20"/>
              </w:rPr>
              <w:t>1.0</w:t>
            </w:r>
          </w:p>
        </w:tc>
      </w:tr>
      <w:tr>
        <w:tc>
          <w:tcPr>
            <w:tcW w:type="dxa" w:w="1701"/>
          </w:tcPr>
          <w:p>
            <w:r>
              <w:rPr>
                <w:sz w:val="20"/>
              </w:rPr>
              <w:t>Ti-O-Fe bonding</w:t>
            </w:r>
          </w:p>
        </w:tc>
        <w:tc>
          <w:tcPr>
            <w:tcW w:type="dxa" w:w="1984"/>
          </w:tcPr>
          <w:p>
            <w:r>
              <w:rPr>
                <w:sz w:val="20"/>
              </w:rPr>
              <w:t>键</w:t>
            </w:r>
          </w:p>
        </w:tc>
        <w:tc>
          <w:tcPr>
            <w:tcW w:type="dxa" w:w="3402"/>
          </w:tcPr>
          <w:p>
            <w:r>
              <w:rPr>
                <w:sz w:val="20"/>
              </w:rPr>
              <w:t>and particularly prohibits the dissolution of Fe s...</w:t>
            </w:r>
          </w:p>
        </w:tc>
        <w:tc>
          <w:tcPr>
            <w:tcW w:type="dxa" w:w="850"/>
          </w:tcPr>
          <w:p>
            <w:r>
              <w:rPr>
                <w:sz w:val="20"/>
              </w:rPr>
              <w:t>1.0</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MXene (Ti&lt;sub&gt;3&lt;/sub&gt;C&lt;sub&gt;2&lt;/sub&gt;)</w:t>
            </w:r>
          </w:p>
        </w:tc>
        <w:tc>
          <w:tcPr>
            <w:tcW w:type="dxa" w:w="2835"/>
          </w:tcPr>
          <w:p>
            <w:r>
              <w:rPr>
                <w:sz w:val="20"/>
              </w:rPr>
              <w:t>MXene (Ti3C2)</w:t>
            </w:r>
          </w:p>
        </w:tc>
        <w:tc>
          <w:tcPr>
            <w:tcW w:type="dxa" w:w="1134"/>
          </w:tcPr>
          <w:p>
            <w:r>
              <w:rPr>
                <w:sz w:val="20"/>
              </w:rPr>
              <w:t>1.0</w:t>
            </w:r>
          </w:p>
        </w:tc>
      </w:tr>
      <w:tr>
        <w:tc>
          <w:tcPr>
            <w:tcW w:type="dxa" w:w="2268"/>
          </w:tcPr>
          <w:p>
            <w:r>
              <w:rPr>
                <w:sz w:val="20"/>
              </w:rPr>
              <w:t>NiFe sulfides ((Ni,Fe)S&lt;sub&gt;2&lt;/sub&gt;@Ti&lt;sub&gt;3&lt;/sub&gt;C&lt;sub&gt;2&lt;/sub&gt;)</w:t>
            </w:r>
          </w:p>
        </w:tc>
        <w:tc>
          <w:tcPr>
            <w:tcW w:type="dxa" w:w="2835"/>
          </w:tcPr>
          <w:p>
            <w:r>
              <w:rPr>
                <w:sz w:val="20"/>
              </w:rPr>
              <w:t>硫化物</w:t>
            </w:r>
          </w:p>
        </w:tc>
        <w:tc>
          <w:tcPr>
            <w:tcW w:type="dxa" w:w="1134"/>
          </w:tcPr>
          <w:p>
            <w:r>
              <w:rPr>
                <w:sz w:val="20"/>
              </w:rPr>
              <w:t>1.0</w:t>
            </w:r>
          </w:p>
        </w:tc>
      </w:tr>
      <w:tr>
        <w:tc>
          <w:tcPr>
            <w:tcW w:type="dxa" w:w="2268"/>
          </w:tcPr>
          <w:p>
            <w:r>
              <w:rPr>
                <w:sz w:val="20"/>
              </w:rPr>
              <w:t>Ti-O-Fe bonding</w:t>
            </w:r>
          </w:p>
        </w:tc>
        <w:tc>
          <w:tcPr>
            <w:tcW w:type="dxa" w:w="2835"/>
          </w:tcPr>
          <w:p>
            <w:r>
              <w:rPr>
                <w:sz w:val="20"/>
              </w:rPr>
              <w:t>键</w:t>
            </w:r>
          </w:p>
        </w:tc>
        <w:tc>
          <w:tcPr>
            <w:tcW w:type="dxa" w:w="1134"/>
          </w:tcPr>
          <w:p>
            <w:r>
              <w:rPr>
                <w:sz w:val="20"/>
              </w:rPr>
              <w:t>1.0</w:t>
            </w:r>
          </w:p>
        </w:tc>
      </w:tr>
      <w:tr>
        <w:tc>
          <w:tcPr>
            <w:tcW w:type="dxa" w:w="2268"/>
          </w:tcPr>
          <w:p>
            <w:r>
              <w:rPr>
                <w:sz w:val="20"/>
              </w:rPr>
              <w:t>Raney Ni cathode</w:t>
            </w:r>
          </w:p>
        </w:tc>
        <w:tc>
          <w:tcPr>
            <w:tcW w:type="dxa" w:w="2835"/>
          </w:tcPr>
          <w:p>
            <w:r>
              <w:rPr>
                <w:sz w:val="20"/>
              </w:rPr>
              <w:t>阴极</w:t>
            </w:r>
          </w:p>
        </w:tc>
        <w:tc>
          <w:tcPr>
            <w:tcW w:type="dxa" w:w="1134"/>
          </w:tcPr>
          <w:p>
            <w:r>
              <w:rPr>
                <w:sz w:val="20"/>
              </w:rPr>
              <w:t>1.0</w:t>
            </w:r>
          </w:p>
        </w:tc>
      </w:tr>
    </w:tbl>
    <w:p/>
    <w:p/>
    <w:p>
      <w:r>
        <w:br w:type="page"/>
      </w:r>
    </w:p>
    <w:p>
      <w:pPr>
        <w:pStyle w:val="Heading1"/>
      </w:pPr>
      <w:r>
        <w:t>四、Stage 2b：跨学科关系抽取</w:t>
      </w:r>
    </w:p>
    <w:p>
      <w:r>
        <w:t>基于抽取的概念，识别跨学科概念间的语义关系。系统支持 11 种标准关系类型（如 method_applied_to, improves_metric 等）。</w:t>
      </w:r>
    </w:p>
    <w:p>
      <w:pPr>
        <w:pStyle w:val="Heading2"/>
      </w:pPr>
      <w:r>
        <w:t>4.1 关系抽取样例（3篇）</w:t>
      </w:r>
    </w:p>
    <w:p>
      <w:pPr>
        <w:pStyle w:val="Heading3"/>
      </w:pPr>
      <w:r>
        <w:t>样例 1: Nano-island-encapsulated cobalt single-atom catalysts for breaking activity-stab...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单原子催化剂</w:t>
            </w:r>
          </w:p>
        </w:tc>
        <w:tc>
          <w:tcPr>
            <w:tcW w:type="dxa" w:w="2268"/>
          </w:tcPr>
          <w:p>
            <w:r>
              <w:rPr>
                <w:sz w:val="20"/>
              </w:rPr>
              <w:t>performance in</w:t>
            </w:r>
          </w:p>
        </w:tc>
        <w:tc>
          <w:tcPr>
            <w:tcW w:type="dxa" w:w="1984"/>
          </w:tcPr>
          <w:p>
            <w:r>
              <w:rPr>
                <w:sz w:val="20"/>
              </w:rPr>
              <w:t>类芬顿催化</w:t>
            </w:r>
          </w:p>
        </w:tc>
        <w:tc>
          <w:tcPr>
            <w:tcW w:type="dxa" w:w="850"/>
          </w:tcPr>
          <w:p>
            <w:r>
              <w:rPr>
                <w:sz w:val="20"/>
              </w:rPr>
              <w:t>1.0</w:t>
            </w:r>
          </w:p>
        </w:tc>
      </w:tr>
      <w:tr>
        <w:tc>
          <w:tcPr>
            <w:tcW w:type="dxa" w:w="1984"/>
          </w:tcPr>
          <w:p>
            <w:r>
              <w:rPr>
                <w:sz w:val="20"/>
              </w:rPr>
              <w:t>纳米岛封装单钴原子催化剂</w:t>
            </w:r>
          </w:p>
        </w:tc>
        <w:tc>
          <w:tcPr>
            <w:tcW w:type="dxa" w:w="2268"/>
          </w:tcPr>
          <w:p>
            <w:r>
              <w:rPr>
                <w:sz w:val="20"/>
              </w:rPr>
              <w:t>enhances the activity and stability of activation</w:t>
            </w:r>
          </w:p>
        </w:tc>
        <w:tc>
          <w:tcPr>
            <w:tcW w:type="dxa" w:w="1984"/>
          </w:tcPr>
          <w:p>
            <w:r>
              <w:rPr>
                <w:sz w:val="20"/>
              </w:rPr>
              <w:t>过硫酸氢盐</w:t>
            </w:r>
          </w:p>
        </w:tc>
        <w:tc>
          <w:tcPr>
            <w:tcW w:type="dxa" w:w="850"/>
          </w:tcPr>
          <w:p>
            <w:r>
              <w:rPr>
                <w:sz w:val="20"/>
              </w:rPr>
              <w:t>1.0</w:t>
            </w:r>
          </w:p>
        </w:tc>
      </w:tr>
      <w:tr>
        <w:tc>
          <w:tcPr>
            <w:tcW w:type="dxa" w:w="1984"/>
          </w:tcPr>
          <w:p>
            <w:r>
              <w:rPr>
                <w:sz w:val="20"/>
              </w:rPr>
              <w:t>氧化锌纳米颗粒</w:t>
            </w:r>
          </w:p>
        </w:tc>
        <w:tc>
          <w:tcPr>
            <w:tcW w:type="dxa" w:w="2268"/>
          </w:tcPr>
          <w:p>
            <w:r>
              <w:rPr>
                <w:sz w:val="20"/>
              </w:rPr>
              <w:t>confine and stabilize</w:t>
            </w:r>
          </w:p>
        </w:tc>
        <w:tc>
          <w:tcPr>
            <w:tcW w:type="dxa" w:w="1984"/>
          </w:tcPr>
          <w:p>
            <w:r>
              <w:rPr>
                <w:sz w:val="20"/>
              </w:rPr>
              <w:t>单原子催化剂</w:t>
            </w:r>
          </w:p>
        </w:tc>
        <w:tc>
          <w:tcPr>
            <w:tcW w:type="dxa" w:w="850"/>
          </w:tcPr>
          <w:p>
            <w:r>
              <w:rPr>
                <w:sz w:val="20"/>
              </w:rPr>
              <w:t>1.0</w:t>
            </w:r>
          </w:p>
        </w:tc>
      </w:tr>
      <w:tr>
        <w:tc>
          <w:tcPr>
            <w:tcW w:type="dxa" w:w="1984"/>
          </w:tcPr>
          <w:p>
            <w:r>
              <w:rPr>
                <w:sz w:val="20"/>
              </w:rPr>
              <w:t>氧化锌基底</w:t>
            </w:r>
          </w:p>
        </w:tc>
        <w:tc>
          <w:tcPr>
            <w:tcW w:type="dxa" w:w="2268"/>
          </w:tcPr>
          <w:p>
            <w:r>
              <w:rPr>
                <w:sz w:val="20"/>
              </w:rPr>
              <w:t>upholds a neutral microenvironment within</w:t>
            </w:r>
          </w:p>
        </w:tc>
        <w:tc>
          <w:tcPr>
            <w:tcW w:type="dxa" w:w="1984"/>
          </w:tcPr>
          <w:p>
            <w:r>
              <w:rPr>
                <w:sz w:val="20"/>
              </w:rPr>
              <w:t>反应系统</w:t>
            </w:r>
          </w:p>
        </w:tc>
        <w:tc>
          <w:tcPr>
            <w:tcW w:type="dxa" w:w="850"/>
          </w:tcPr>
          <w:p>
            <w:r>
              <w:rPr>
                <w:sz w:val="20"/>
              </w:rPr>
              <w:t>1.0</w:t>
            </w:r>
          </w:p>
        </w:tc>
      </w:tr>
      <w:tr>
        <w:tc>
          <w:tcPr>
            <w:tcW w:type="dxa" w:w="1984"/>
          </w:tcPr>
          <w:p>
            <w:r>
              <w:rPr>
                <w:sz w:val="20"/>
              </w:rPr>
              <w:t>纳米岛封装单钴原子催化剂</w:t>
            </w:r>
          </w:p>
        </w:tc>
        <w:tc>
          <w:tcPr>
            <w:tcW w:type="dxa" w:w="2268"/>
          </w:tcPr>
          <w:p>
            <w:r>
              <w:rPr>
                <w:sz w:val="20"/>
              </w:rPr>
              <w:t>exhibits a remarkable selectivity in exclusively generating</w:t>
            </w:r>
          </w:p>
        </w:tc>
        <w:tc>
          <w:tcPr>
            <w:tcW w:type="dxa" w:w="1984"/>
          </w:tcPr>
          <w:p>
            <w:r>
              <w:rPr>
                <w:sz w:val="20"/>
              </w:rPr>
              <w:t>硫酸根自由基</w:t>
            </w:r>
          </w:p>
        </w:tc>
        <w:tc>
          <w:tcPr>
            <w:tcW w:type="dxa" w:w="850"/>
          </w:tcPr>
          <w:p>
            <w:r>
              <w:rPr>
                <w:sz w:val="20"/>
              </w:rPr>
              <w:t>1.0</w:t>
            </w:r>
          </w:p>
        </w:tc>
      </w:tr>
    </w:tbl>
    <w:p/>
    <w:p>
      <w:r>
        <w:rPr>
          <w:b/>
        </w:rPr>
        <w:t xml:space="preserve">[材料科学] </w:t>
      </w:r>
      <w:r>
        <w:t>通过设计纳米岛结构和氧化锌基底材料，为单原子催化剂提供稳定载体和中性反应环境</w:t>
      </w:r>
    </w:p>
    <w:p>
      <w:r>
        <w:rPr>
          <w:b/>
        </w:rPr>
        <w:t xml:space="preserve">[环境科学技术] </w:t>
      </w:r>
      <w:r>
        <w:t>评估催化剂在复杂水体中对顽固污染物的降解效能及环境适应性</w:t>
      </w:r>
    </w:p>
    <w:p/>
    <w:p>
      <w:pPr>
        <w:pStyle w:val="Heading3"/>
      </w:pPr>
      <w:r>
        <w:t>样例 2: High-entropy alloy enables multi-path electron synergism and lattice oxygen acti...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high-entropy alloys (HEAs)</w:t>
            </w:r>
          </w:p>
        </w:tc>
        <w:tc>
          <w:tcPr>
            <w:tcW w:type="dxa" w:w="2268"/>
          </w:tcPr>
          <w:p>
            <w:r>
              <w:rPr>
                <w:sz w:val="20"/>
              </w:rPr>
              <w:t>efficiently activate</w:t>
            </w:r>
          </w:p>
        </w:tc>
        <w:tc>
          <w:tcPr>
            <w:tcW w:type="dxa" w:w="1984"/>
          </w:tcPr>
          <w:p>
            <w:r>
              <w:rPr>
                <w:sz w:val="20"/>
              </w:rPr>
              <w:t>lattice oxygen activation mechanism (LOM)</w:t>
            </w:r>
          </w:p>
        </w:tc>
        <w:tc>
          <w:tcPr>
            <w:tcW w:type="dxa" w:w="850"/>
          </w:tcPr>
          <w:p>
            <w:r>
              <w:rPr>
                <w:sz w:val="20"/>
              </w:rPr>
              <w:t>1.0</w:t>
            </w:r>
          </w:p>
        </w:tc>
      </w:tr>
      <w:tr>
        <w:tc>
          <w:tcPr>
            <w:tcW w:type="dxa" w:w="1984"/>
          </w:tcPr>
          <w:p>
            <w:r>
              <w:rPr>
                <w:sz w:val="20"/>
              </w:rPr>
              <w:t>high-entropy alloys (HEAs)</w:t>
            </w:r>
          </w:p>
        </w:tc>
        <w:tc>
          <w:tcPr>
            <w:tcW w:type="dxa" w:w="2268"/>
          </w:tcPr>
          <w:p>
            <w:r>
              <w:rPr>
                <w:sz w:val="20"/>
              </w:rPr>
              <w:t>boosts activity</w:t>
            </w:r>
          </w:p>
        </w:tc>
        <w:tc>
          <w:tcPr>
            <w:tcW w:type="dxa" w:w="1984"/>
          </w:tcPr>
          <w:p>
            <w:r>
              <w:rPr>
                <w:sz w:val="20"/>
              </w:rPr>
              <w:t>Electrocatalytic oxygen evolution reaction (OER)</w:t>
            </w:r>
          </w:p>
        </w:tc>
        <w:tc>
          <w:tcPr>
            <w:tcW w:type="dxa" w:w="850"/>
          </w:tcPr>
          <w:p>
            <w:r>
              <w:rPr>
                <w:sz w:val="20"/>
              </w:rPr>
              <w:t>1.0</w:t>
            </w:r>
          </w:p>
        </w:tc>
      </w:tr>
      <w:tr>
        <w:tc>
          <w:tcPr>
            <w:tcW w:type="dxa" w:w="1984"/>
          </w:tcPr>
          <w:p>
            <w:r>
              <w:rPr>
                <w:sz w:val="20"/>
              </w:rPr>
              <w:t>Ni-Co dual-site</w:t>
            </w:r>
          </w:p>
        </w:tc>
        <w:tc>
          <w:tcPr>
            <w:tcW w:type="dxa" w:w="2268"/>
          </w:tcPr>
          <w:p>
            <w:r>
              <w:rPr>
                <w:sz w:val="20"/>
              </w:rPr>
              <w:t>enabling effective</w:t>
            </w:r>
          </w:p>
        </w:tc>
        <w:tc>
          <w:tcPr>
            <w:tcW w:type="dxa" w:w="1984"/>
          </w:tcPr>
          <w:p>
            <w:r>
              <w:rPr>
                <w:sz w:val="20"/>
              </w:rPr>
              <w:t>lattice oxygen activation mechanism (LOM)</w:t>
            </w:r>
          </w:p>
        </w:tc>
        <w:tc>
          <w:tcPr>
            <w:tcW w:type="dxa" w:w="850"/>
          </w:tcPr>
          <w:p>
            <w:r>
              <w:rPr>
                <w:sz w:val="20"/>
              </w:rPr>
              <w:t>1.0</w:t>
            </w:r>
          </w:p>
        </w:tc>
      </w:tr>
      <w:tr>
        <w:tc>
          <w:tcPr>
            <w:tcW w:type="dxa" w:w="1984"/>
          </w:tcPr>
          <w:p>
            <w:r>
              <w:rPr>
                <w:sz w:val="20"/>
              </w:rPr>
              <w:t>NiFeCoCrW&lt;sub&gt;0.2&lt;/sub&gt; HEA</w:t>
            </w:r>
          </w:p>
        </w:tc>
        <w:tc>
          <w:tcPr>
            <w:tcW w:type="dxa" w:w="2268"/>
          </w:tcPr>
          <w:p>
            <w:r>
              <w:rPr>
                <w:sz w:val="20"/>
              </w:rPr>
              <w:t>achieves</w:t>
            </w:r>
          </w:p>
        </w:tc>
        <w:tc>
          <w:tcPr>
            <w:tcW w:type="dxa" w:w="1984"/>
          </w:tcPr>
          <w:p>
            <w:r>
              <w:rPr>
                <w:sz w:val="20"/>
              </w:rPr>
              <w:t>overpotential</w:t>
            </w:r>
          </w:p>
        </w:tc>
        <w:tc>
          <w:tcPr>
            <w:tcW w:type="dxa" w:w="850"/>
          </w:tcPr>
          <w:p>
            <w:r>
              <w:rPr>
                <w:sz w:val="20"/>
              </w:rPr>
              <w:t>1.0</w:t>
            </w:r>
          </w:p>
        </w:tc>
      </w:tr>
      <w:tr>
        <w:tc>
          <w:tcPr>
            <w:tcW w:type="dxa" w:w="1984"/>
          </w:tcPr>
          <w:p>
            <w:r>
              <w:rPr>
                <w:sz w:val="20"/>
              </w:rPr>
              <w:t>high-entropy structure</w:t>
            </w:r>
          </w:p>
        </w:tc>
        <w:tc>
          <w:tcPr>
            <w:tcW w:type="dxa" w:w="2268"/>
          </w:tcPr>
          <w:p>
            <w:r>
              <w:rPr>
                <w:sz w:val="20"/>
              </w:rPr>
              <w:t>promotes the initiation of</w:t>
            </w:r>
          </w:p>
        </w:tc>
        <w:tc>
          <w:tcPr>
            <w:tcW w:type="dxa" w:w="1984"/>
          </w:tcPr>
          <w:p>
            <w:r>
              <w:rPr>
                <w:sz w:val="20"/>
              </w:rPr>
              <w:t>lattice oxygen activation mechanism (LOM)</w:t>
            </w:r>
          </w:p>
        </w:tc>
        <w:tc>
          <w:tcPr>
            <w:tcW w:type="dxa" w:w="850"/>
          </w:tcPr>
          <w:p>
            <w:r>
              <w:rPr>
                <w:sz w:val="20"/>
              </w:rPr>
              <w:t>1.0</w:t>
            </w:r>
          </w:p>
        </w:tc>
      </w:tr>
    </w:tbl>
    <w:p/>
    <w:p>
      <w:r>
        <w:rPr>
          <w:b/>
        </w:rPr>
        <w:t xml:space="preserve">[化学] </w:t>
      </w:r>
      <w:r>
        <w:t>化学学科通过分析催化剂表面化学键变化和电解质溶液作用，为电催化反应机制提供分子层面的解释。</w:t>
      </w:r>
    </w:p>
    <w:p>
      <w:r>
        <w:rPr>
          <w:b/>
        </w:rPr>
        <w:t xml:space="preserve">[材料科学] </w:t>
      </w:r>
      <w:r>
        <w:t>材料科学学科通过设计高熵合金的组分与结构特性，优化催化剂材料的多路径电子协同传输能力。</w:t>
      </w:r>
    </w:p>
    <w:p/>
    <w:p>
      <w:pPr>
        <w:pStyle w:val="Heading3"/>
      </w:pPr>
      <w:r>
        <w:t>样例 3: MXene-Assisted NiFe sulfides for high-performance anion exchange membrane seawat...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MXene (Ti&lt;sub&gt;3&lt;/sub&gt;C&lt;sub&gt;2&lt;/sub&gt;)</w:t>
            </w:r>
          </w:p>
        </w:tc>
        <w:tc>
          <w:tcPr>
            <w:tcW w:type="dxa" w:w="2268"/>
          </w:tcPr>
          <w:p>
            <w:r>
              <w:rPr>
                <w:sz w:val="20"/>
              </w:rPr>
              <w:t>integrates with</w:t>
            </w:r>
          </w:p>
        </w:tc>
        <w:tc>
          <w:tcPr>
            <w:tcW w:type="dxa" w:w="1984"/>
          </w:tcPr>
          <w:p>
            <w:r>
              <w:rPr>
                <w:sz w:val="20"/>
              </w:rPr>
              <w:t>NiFe sulfides ((Ni,Fe)S&lt;sub&gt;2&lt;/sub&gt;@Ti&lt;sub&gt;3&lt;/sub&gt;C&lt;sub&gt;2&lt;/sub&gt;)</w:t>
            </w:r>
          </w:p>
        </w:tc>
        <w:tc>
          <w:tcPr>
            <w:tcW w:type="dxa" w:w="850"/>
          </w:tcPr>
          <w:p>
            <w:r>
              <w:rPr>
                <w:sz w:val="20"/>
              </w:rPr>
              <w:t>1.0</w:t>
            </w:r>
          </w:p>
        </w:tc>
      </w:tr>
      <w:tr>
        <w:tc>
          <w:tcPr>
            <w:tcW w:type="dxa" w:w="1984"/>
          </w:tcPr>
          <w:p>
            <w:r>
              <w:rPr>
                <w:sz w:val="20"/>
              </w:rPr>
              <w:t>NiFe sulfides ((Ni,Fe)S&lt;sub&gt;2&lt;/sub&gt;@Ti&lt;sub&gt;3&lt;/sub&gt;C&lt;sub&gt;2&lt;/sub&gt;)</w:t>
            </w:r>
          </w:p>
        </w:tc>
        <w:tc>
          <w:tcPr>
            <w:tcW w:type="dxa" w:w="2268"/>
          </w:tcPr>
          <w:p>
            <w:r>
              <w:rPr>
                <w:sz w:val="20"/>
              </w:rPr>
              <w:t>triggers</w:t>
            </w:r>
          </w:p>
        </w:tc>
        <w:tc>
          <w:tcPr>
            <w:tcW w:type="dxa" w:w="1984"/>
          </w:tcPr>
          <w:p>
            <w:r>
              <w:rPr>
                <w:sz w:val="20"/>
              </w:rPr>
              <w:t>lattice oxygen mechanism</w:t>
            </w:r>
          </w:p>
        </w:tc>
        <w:tc>
          <w:tcPr>
            <w:tcW w:type="dxa" w:w="850"/>
          </w:tcPr>
          <w:p>
            <w:r>
              <w:rPr>
                <w:sz w:val="20"/>
              </w:rPr>
              <w:t>1.0</w:t>
            </w:r>
          </w:p>
        </w:tc>
      </w:tr>
      <w:tr>
        <w:tc>
          <w:tcPr>
            <w:tcW w:type="dxa" w:w="1984"/>
          </w:tcPr>
          <w:p>
            <w:r>
              <w:rPr>
                <w:sz w:val="20"/>
              </w:rPr>
              <w:t>Ti-O-Fe bonding</w:t>
            </w:r>
          </w:p>
        </w:tc>
        <w:tc>
          <w:tcPr>
            <w:tcW w:type="dxa" w:w="2268"/>
          </w:tcPr>
          <w:p>
            <w:r>
              <w:rPr>
                <w:sz w:val="20"/>
              </w:rPr>
              <w:t>prohibits</w:t>
            </w:r>
          </w:p>
        </w:tc>
        <w:tc>
          <w:tcPr>
            <w:tcW w:type="dxa" w:w="1984"/>
          </w:tcPr>
          <w:p>
            <w:r>
              <w:rPr>
                <w:sz w:val="20"/>
              </w:rPr>
              <w:t>dissolution of Fe species</w:t>
            </w:r>
          </w:p>
        </w:tc>
        <w:tc>
          <w:tcPr>
            <w:tcW w:type="dxa" w:w="850"/>
          </w:tcPr>
          <w:p>
            <w:r>
              <w:rPr>
                <w:sz w:val="20"/>
              </w:rPr>
              <w:t>1.0</w:t>
            </w:r>
          </w:p>
        </w:tc>
      </w:tr>
      <w:tr>
        <w:tc>
          <w:tcPr>
            <w:tcW w:type="dxa" w:w="1984"/>
          </w:tcPr>
          <w:p>
            <w:r>
              <w:rPr>
                <w:sz w:val="20"/>
              </w:rPr>
              <w:t>MXene (Ti&lt;sub&gt;3&lt;/sub&gt;C&lt;sub&gt;2&lt;/sub&gt;)</w:t>
            </w:r>
          </w:p>
        </w:tc>
        <w:tc>
          <w:tcPr>
            <w:tcW w:type="dxa" w:w="2268"/>
          </w:tcPr>
          <w:p>
            <w:r>
              <w:rPr>
                <w:sz w:val="20"/>
              </w:rPr>
              <w:t>provides</w:t>
            </w:r>
          </w:p>
        </w:tc>
        <w:tc>
          <w:tcPr>
            <w:tcW w:type="dxa" w:w="1984"/>
          </w:tcPr>
          <w:p>
            <w:r>
              <w:rPr>
                <w:sz w:val="20"/>
              </w:rPr>
              <w:t>Cl&lt;sup&gt;-&lt;/sup&gt; resistance</w:t>
            </w:r>
          </w:p>
        </w:tc>
        <w:tc>
          <w:tcPr>
            <w:tcW w:type="dxa" w:w="850"/>
          </w:tcPr>
          <w:p>
            <w:r>
              <w:rPr>
                <w:sz w:val="20"/>
              </w:rPr>
              <w:t>1.0</w:t>
            </w:r>
          </w:p>
        </w:tc>
      </w:tr>
      <w:tr>
        <w:tc>
          <w:tcPr>
            <w:tcW w:type="dxa" w:w="1984"/>
          </w:tcPr>
          <w:p>
            <w:r>
              <w:rPr>
                <w:sz w:val="20"/>
              </w:rPr>
              <w:t>NiFe sulfides ((Ni,Fe)S&lt;sub&gt;2&lt;/sub&gt;@Ti&lt;sub&gt;3&lt;/sub&gt;C&lt;sub&gt;2&lt;/sub&gt;)</w:t>
            </w:r>
          </w:p>
        </w:tc>
        <w:tc>
          <w:tcPr>
            <w:tcW w:type="dxa" w:w="2268"/>
          </w:tcPr>
          <w:p>
            <w:r>
              <w:rPr>
                <w:sz w:val="20"/>
              </w:rPr>
              <w:t>achieves</w:t>
            </w:r>
          </w:p>
        </w:tc>
        <w:tc>
          <w:tcPr>
            <w:tcW w:type="dxa" w:w="1984"/>
          </w:tcPr>
          <w:p>
            <w:r>
              <w:rPr>
                <w:sz w:val="20"/>
              </w:rPr>
              <w:t>OER activity (1.598 V@2 A cm&lt;sup&gt;-2&lt;/sup&gt;)</w:t>
            </w:r>
          </w:p>
        </w:tc>
        <w:tc>
          <w:tcPr>
            <w:tcW w:type="dxa" w:w="850"/>
          </w:tcPr>
          <w:p>
            <w:r>
              <w:rPr>
                <w:sz w:val="20"/>
              </w:rPr>
              <w:t>1.0</w:t>
            </w:r>
          </w:p>
        </w:tc>
      </w:tr>
    </w:tbl>
    <w:p/>
    <w:p>
      <w:r>
        <w:rPr>
          <w:b/>
        </w:rPr>
        <w:t xml:space="preserve">[材料科学] </w:t>
      </w:r>
      <w:r>
        <w:t>材料科学通过提供MXene与硫化物的复合材料和优化电极结构，显著提升了电解系统的稳定性和催化效率</w:t>
      </w:r>
    </w:p>
    <w:p/>
    <w:p>
      <w:r>
        <w:br w:type="page"/>
      </w:r>
    </w:p>
    <w:p>
      <w:pPr>
        <w:pStyle w:val="Heading1"/>
      </w:pPr>
      <w:r>
        <w:t>五、Stage 2c：三级查询生成</w:t>
      </w:r>
    </w:p>
    <w:p>
      <w:r>
        <w:t>基于抽取的概念和关系，生成三级层次化查询：一级（宏观核心问题）→ 二级（按辅学科维度）→ 三级（细粒度操作问题）。</w:t>
      </w:r>
    </w:p>
    <w:p>
      <w:pPr>
        <w:pStyle w:val="Heading2"/>
      </w:pPr>
      <w:r>
        <w:t>5.1 查询生成样例（3篇）</w:t>
      </w:r>
    </w:p>
    <w:p>
      <w:pPr>
        <w:pStyle w:val="Heading3"/>
      </w:pPr>
      <w:r>
        <w:t>样例 1: Nano-island-encapsulated cobalt single-atom catalysts for breaking activity-stab...</w:t>
      </w:r>
    </w:p>
    <w:p>
      <w:r>
        <w:rPr>
          <w:b/>
        </w:rPr>
        <w:t xml:space="preserve">一级查询: </w:t>
      </w:r>
      <w:r>
        <w:t>如何设计高效稳定的单原子催化剂以突破类芬顿催化中的活性-稳定性权衡问题</w:t>
      </w:r>
    </w:p>
    <w:p>
      <w:r>
        <w:rPr>
          <w:b/>
        </w:rPr>
        <w:t xml:space="preserve">二级查询: </w:t>
      </w:r>
      <w:r/>
    </w:p>
    <w:p>
      <w:pPr>
        <w:pStyle w:val="ListBullet"/>
        <w:ind w:left="850"/>
      </w:pPr>
      <w:r>
        <w:t>结合氧化锌纳米材料的结构特性，如何优化单原子催化剂的载体设计</w:t>
      </w:r>
    </w:p>
    <w:p>
      <w:pPr>
        <w:pStyle w:val="ListBullet"/>
        <w:ind w:left="850"/>
      </w:pPr>
      <w:r>
        <w:t>针对难降解污染物处理需求，如何评估催化剂的降解效率与环境适应性</w:t>
      </w:r>
    </w:p>
    <w:p>
      <w:r>
        <w:rPr>
          <w:b/>
        </w:rPr>
        <w:t xml:space="preserve">三级查询: </w:t>
      </w:r>
      <w:r/>
    </w:p>
    <w:p>
      <w:pPr>
        <w:pStyle w:val="ListBullet"/>
        <w:ind w:left="850"/>
      </w:pPr>
      <w:r>
        <w:t>通过氧化锌纳米颗粒与基底材料的协同作用构建'岛海效应'，如何验证该结构对单钴原子稳定性和催化活性的双重提升机制</w:t>
      </w:r>
    </w:p>
    <w:p>
      <w:pPr>
        <w:pStyle w:val="ListBullet"/>
        <w:ind w:left="850"/>
      </w:pPr>
      <w:r>
        <w:t>在多轮处理周期和复杂水体基质中，如何建立催化剂性能与污染物降解效率的跨学科评价体系</w:t>
      </w:r>
    </w:p>
    <w:p/>
    <w:p>
      <w:pPr>
        <w:pStyle w:val="Heading3"/>
      </w:pPr>
      <w:r>
        <w:t>样例 2: High-entropy alloy enables multi-path electron synergism and lattice oxygen acti...</w:t>
      </w:r>
    </w:p>
    <w:p>
      <w:r>
        <w:rPr>
          <w:b/>
        </w:rPr>
        <w:t xml:space="preserve">一级查询: </w:t>
      </w:r>
      <w:r>
        <w:t>如何提升电催化氧析出反应的活性与效率？</w:t>
      </w:r>
    </w:p>
    <w:p>
      <w:r>
        <w:rPr>
          <w:b/>
        </w:rPr>
        <w:t xml:space="preserve">二级查询: </w:t>
      </w:r>
      <w:r/>
    </w:p>
    <w:p>
      <w:pPr>
        <w:pStyle w:val="ListBullet"/>
        <w:ind w:left="850"/>
      </w:pPr>
      <w:r>
        <w:t>如何结合高熵合金材料特性与晶格氧活化机制提升催化活性？</w:t>
      </w:r>
    </w:p>
    <w:p>
      <w:pPr>
        <w:pStyle w:val="ListBullet"/>
        <w:ind w:left="850"/>
      </w:pPr>
      <w:r>
        <w:t>如何通过化学键分析验证催化剂表面反应机制？</w:t>
      </w:r>
    </w:p>
    <w:p>
      <w:r>
        <w:rPr>
          <w:b/>
        </w:rPr>
        <w:t xml:space="preserve">三级查询: </w:t>
      </w:r>
      <w:r/>
    </w:p>
    <w:p>
      <w:pPr>
        <w:pStyle w:val="ListBullet"/>
        <w:ind w:left="850"/>
      </w:pPr>
      <w:r>
        <w:t>高熵合金的多组分协同如何通过材料科学设计降低过电位，并结合拉曼光谱化学表征验证镍钴双位点的活化机制？</w:t>
      </w:r>
    </w:p>
    <w:p>
      <w:pPr>
        <w:pStyle w:val="ListBullet"/>
        <w:ind w:left="850"/>
      </w:pPr>
      <w:r>
        <w:t>四甲基氢氧化铵电解质环境下的化学键变化分析如何与高熵结构特性协同优化μ-过氧中间体形成路径？</w:t>
      </w:r>
    </w:p>
    <w:p/>
    <w:p>
      <w:pPr>
        <w:pStyle w:val="Heading3"/>
      </w:pPr>
      <w:r>
        <w:t>样例 3: MXene-Assisted NiFe sulfides for high-performance anion exchange membrane seawat...</w:t>
      </w:r>
    </w:p>
    <w:p>
      <w:r>
        <w:rPr>
          <w:b/>
        </w:rPr>
        <w:t xml:space="preserve">一级查询: </w:t>
      </w:r>
      <w:r>
        <w:t>如何提升阴离子交换膜海水电解系统的性能与稳定性</w:t>
      </w:r>
    </w:p>
    <w:p>
      <w:r>
        <w:rPr>
          <w:b/>
        </w:rPr>
        <w:t xml:space="preserve">二级查询: </w:t>
      </w:r>
      <w:r/>
    </w:p>
    <w:p>
      <w:pPr>
        <w:pStyle w:val="ListBullet"/>
        <w:ind w:left="850"/>
      </w:pPr>
      <w:r>
        <w:t>如何利用新型复合材料提升阴离子交换膜海水电解系统的催化效率</w:t>
      </w:r>
    </w:p>
    <w:p>
      <w:pPr>
        <w:pStyle w:val="ListBullet"/>
        <w:ind w:left="850"/>
      </w:pPr>
      <w:r>
        <w:t>如何通过优化电极结构设计提高海水电解的长期稳定性</w:t>
      </w:r>
    </w:p>
    <w:p>
      <w:r>
        <w:rPr>
          <w:b/>
        </w:rPr>
        <w:t xml:space="preserve">三级查询: </w:t>
      </w:r>
      <w:r/>
    </w:p>
    <w:p>
      <w:pPr>
        <w:pStyle w:val="ListBullet"/>
        <w:ind w:left="850"/>
      </w:pPr>
      <w:r>
        <w:t>如何通过与硫化物复合材料的协同作用优化晶格氧机制，从而提升氧析出反应的电催化活性</w:t>
      </w:r>
    </w:p>
    <w:p>
      <w:pPr>
        <w:pStyle w:val="ListBullet"/>
        <w:ind w:left="850"/>
      </w:pPr>
      <w:r>
        <w:t>如何结合气体扩散层孔径设计与阴离子交换膜选择，构建高效耐腐蚀的海水电解系统工作流</w:t>
      </w:r>
    </w:p>
    <w:p/>
    <w:p>
      <w:r>
        <w:br w:type="page"/>
      </w:r>
    </w:p>
    <w:p>
      <w:pPr>
        <w:pStyle w:val="Heading1"/>
      </w:pPr>
      <w:r>
        <w:t>六、Stage 2d：三级假设生成</w:t>
      </w:r>
    </w:p>
    <w:p>
      <w:r>
        <w:t>基于概念、关系和查询，生成三级结构化假设。每条假设为 3 步链式推理路径（head → relation → tail），附带总结。</w:t>
      </w:r>
    </w:p>
    <w:p>
      <w:pPr>
        <w:pStyle w:val="Heading2"/>
      </w:pPr>
      <w:r>
        <w:t>6.1 假设生成样例（3篇）</w:t>
      </w:r>
    </w:p>
    <w:p>
      <w:pPr>
        <w:pStyle w:val="Heading3"/>
      </w:pPr>
      <w:r>
        <w:t>样例 1: Nano-island-encapsulated cobalt single-atom catalysts for breaking activity-stab...</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单原子催化剂</w:t>
            </w:r>
          </w:p>
        </w:tc>
        <w:tc>
          <w:tcPr>
            <w:tcW w:type="dxa" w:w="2268"/>
          </w:tcPr>
          <w:p>
            <w:r>
              <w:rPr>
                <w:sz w:val="20"/>
              </w:rPr>
              <w:t>性能受限于</w:t>
            </w:r>
          </w:p>
        </w:tc>
        <w:tc>
          <w:tcPr>
            <w:tcW w:type="dxa" w:w="2268"/>
          </w:tcPr>
          <w:p>
            <w:r>
              <w:rPr>
                <w:sz w:val="20"/>
              </w:rPr>
              <w:t>活性-稳定性权衡</w:t>
            </w:r>
          </w:p>
        </w:tc>
      </w:tr>
      <w:tr>
        <w:tc>
          <w:tcPr>
            <w:tcW w:type="dxa" w:w="850"/>
          </w:tcPr>
          <w:p>
            <w:r>
              <w:rPr>
                <w:sz w:val="20"/>
              </w:rPr>
              <w:t>2</w:t>
            </w:r>
          </w:p>
        </w:tc>
        <w:tc>
          <w:tcPr>
            <w:tcW w:type="dxa" w:w="2268"/>
          </w:tcPr>
          <w:p>
            <w:r>
              <w:rPr>
                <w:sz w:val="20"/>
              </w:rPr>
              <w:t>活性-稳定性权衡</w:t>
            </w:r>
          </w:p>
        </w:tc>
        <w:tc>
          <w:tcPr>
            <w:tcW w:type="dxa" w:w="2268"/>
          </w:tcPr>
          <w:p>
            <w:r>
              <w:rPr>
                <w:sz w:val="20"/>
              </w:rPr>
              <w:t>可通过</w:t>
            </w:r>
          </w:p>
        </w:tc>
        <w:tc>
          <w:tcPr>
            <w:tcW w:type="dxa" w:w="2268"/>
          </w:tcPr>
          <w:p>
            <w:r>
              <w:rPr>
                <w:sz w:val="20"/>
              </w:rPr>
              <w:t>纳米岛封装单钴原子催化剂</w:t>
            </w:r>
          </w:p>
        </w:tc>
      </w:tr>
      <w:tr>
        <w:tc>
          <w:tcPr>
            <w:tcW w:type="dxa" w:w="850"/>
          </w:tcPr>
          <w:p>
            <w:r>
              <w:rPr>
                <w:sz w:val="20"/>
              </w:rPr>
              <w:t>3</w:t>
            </w:r>
          </w:p>
        </w:tc>
        <w:tc>
          <w:tcPr>
            <w:tcW w:type="dxa" w:w="2268"/>
          </w:tcPr>
          <w:p>
            <w:r>
              <w:rPr>
                <w:sz w:val="20"/>
              </w:rPr>
              <w:t>纳米岛封装单钴原子催化剂</w:t>
            </w:r>
          </w:p>
        </w:tc>
        <w:tc>
          <w:tcPr>
            <w:tcW w:type="dxa" w:w="2268"/>
          </w:tcPr>
          <w:p>
            <w:r>
              <w:rPr>
                <w:sz w:val="20"/>
              </w:rPr>
              <w:t>需材料科学辅助优化</w:t>
            </w:r>
          </w:p>
        </w:tc>
        <w:tc>
          <w:tcPr>
            <w:tcW w:type="dxa" w:w="2268"/>
          </w:tcPr>
          <w:p>
            <w:r>
              <w:rPr>
                <w:sz w:val="20"/>
              </w:rPr>
              <w:t>氧化锌纳米颗粒</w:t>
            </w:r>
          </w:p>
        </w:tc>
      </w:tr>
    </w:tbl>
    <w:p/>
    <w:p>
      <w:r>
        <w:rPr>
          <w:b/>
        </w:rPr>
        <w:t xml:space="preserve">一级总结: </w:t>
      </w:r>
      <w:r/>
    </w:p>
    <w:p>
      <w:pPr>
        <w:pStyle w:val="ListBullet"/>
        <w:ind w:left="850"/>
      </w:pPr>
      <w:r>
        <w:t>化学领域需通过材料科学优化氧化锌纳米载体结构，以解决单原子催化剂活性-稳定性权衡问题</w:t>
      </w:r>
    </w:p>
    <w:p>
      <w:pPr>
        <w:pStyle w:val="ListBullet"/>
        <w:ind w:left="850"/>
      </w:pPr>
      <w:r>
        <w:t>化学领域需联合环境科学技术评估催化剂在水体基质中的稳定性，确保类芬顿催化实际应用效果</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氧化锌纳米颗粒</w:t>
            </w:r>
          </w:p>
        </w:tc>
        <w:tc>
          <w:tcPr>
            <w:tcW w:type="dxa" w:w="2268"/>
          </w:tcPr>
          <w:p>
            <w:r>
              <w:rPr>
                <w:sz w:val="20"/>
              </w:rPr>
              <w:t>通过结构封装形成</w:t>
            </w:r>
          </w:p>
        </w:tc>
        <w:tc>
          <w:tcPr>
            <w:tcW w:type="dxa" w:w="2268"/>
          </w:tcPr>
          <w:p>
            <w:r>
              <w:rPr>
                <w:sz w:val="20"/>
              </w:rPr>
              <w:t>纳米岛封装单钴原子催化剂</w:t>
            </w:r>
          </w:p>
        </w:tc>
      </w:tr>
      <w:tr>
        <w:tc>
          <w:tcPr>
            <w:tcW w:type="dxa" w:w="850"/>
          </w:tcPr>
          <w:p>
            <w:r>
              <w:rPr>
                <w:sz w:val="20"/>
              </w:rPr>
              <w:t>2</w:t>
            </w:r>
          </w:p>
        </w:tc>
        <w:tc>
          <w:tcPr>
            <w:tcW w:type="dxa" w:w="2268"/>
          </w:tcPr>
          <w:p>
            <w:r>
              <w:rPr>
                <w:sz w:val="20"/>
              </w:rPr>
              <w:t>纳米岛封装单钴原子催化剂</w:t>
            </w:r>
          </w:p>
        </w:tc>
        <w:tc>
          <w:tcPr>
            <w:tcW w:type="dxa" w:w="2268"/>
          </w:tcPr>
          <w:p>
            <w:r>
              <w:rPr>
                <w:sz w:val="20"/>
              </w:rPr>
              <w:t>有效打破</w:t>
            </w:r>
          </w:p>
        </w:tc>
        <w:tc>
          <w:tcPr>
            <w:tcW w:type="dxa" w:w="2268"/>
          </w:tcPr>
          <w:p>
            <w:r>
              <w:rPr>
                <w:sz w:val="20"/>
              </w:rPr>
              <w:t>活性-稳定性权衡</w:t>
            </w:r>
          </w:p>
        </w:tc>
      </w:tr>
      <w:tr>
        <w:tc>
          <w:tcPr>
            <w:tcW w:type="dxa" w:w="850"/>
          </w:tcPr>
          <w:p>
            <w:r>
              <w:rPr>
                <w:sz w:val="20"/>
              </w:rPr>
              <w:t>3</w:t>
            </w:r>
          </w:p>
        </w:tc>
        <w:tc>
          <w:tcPr>
            <w:tcW w:type="dxa" w:w="2268"/>
          </w:tcPr>
          <w:p>
            <w:r>
              <w:rPr>
                <w:sz w:val="20"/>
              </w:rPr>
              <w:t>活性-稳定性权衡</w:t>
            </w:r>
          </w:p>
        </w:tc>
        <w:tc>
          <w:tcPr>
            <w:tcW w:type="dxa" w:w="2268"/>
          </w:tcPr>
          <w:p>
            <w:r>
              <w:rPr>
                <w:sz w:val="20"/>
              </w:rPr>
              <w:t>提升</w:t>
            </w:r>
          </w:p>
        </w:tc>
        <w:tc>
          <w:tcPr>
            <w:tcW w:type="dxa" w:w="2268"/>
          </w:tcPr>
          <w:p>
            <w:r>
              <w:rPr>
                <w:sz w:val="20"/>
              </w:rPr>
              <w:t>类芬顿催化</w:t>
            </w:r>
          </w:p>
        </w:tc>
      </w:tr>
    </w:tbl>
    <w:p/>
    <w:p>
      <w:r>
        <w:rPr>
          <w:b/>
        </w:rPr>
        <w:t xml:space="preserve">二级总结: </w:t>
      </w:r>
      <w:r/>
    </w:p>
    <w:p>
      <w:pPr>
        <w:pStyle w:val="ListBullet"/>
        <w:ind w:left="850"/>
      </w:pPr>
      <w:r>
        <w:t>氧化锌纳米材料的结构封装特性可优化单原子催化剂载体设计，通过打破活性-稳定性权衡提升类芬顿催化性能</w:t>
      </w:r>
    </w:p>
    <w:p>
      <w:pPr>
        <w:pStyle w:val="ListBullet"/>
        <w:ind w:left="850"/>
      </w:pPr>
      <w:r>
        <w:t>基于难降解污染物处理需求，通过选择性生成硫酸根自由基实现高效降解，并验证其在复杂水体基质中的适应性</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氧化锌纳米颗粒</w:t>
            </w:r>
          </w:p>
        </w:tc>
        <w:tc>
          <w:tcPr>
            <w:tcW w:type="dxa" w:w="2268"/>
          </w:tcPr>
          <w:p>
            <w:r>
              <w:rPr>
                <w:sz w:val="20"/>
              </w:rPr>
              <w:t>通过空间限域作用稳定</w:t>
            </w:r>
          </w:p>
        </w:tc>
        <w:tc>
          <w:tcPr>
            <w:tcW w:type="dxa" w:w="2268"/>
          </w:tcPr>
          <w:p>
            <w:r>
              <w:rPr>
                <w:sz w:val="20"/>
              </w:rPr>
              <w:t>单原子催化剂</w:t>
            </w:r>
          </w:p>
        </w:tc>
      </w:tr>
      <w:tr>
        <w:tc>
          <w:tcPr>
            <w:tcW w:type="dxa" w:w="850"/>
          </w:tcPr>
          <w:p>
            <w:r>
              <w:rPr>
                <w:sz w:val="20"/>
              </w:rPr>
              <w:t>2</w:t>
            </w:r>
          </w:p>
        </w:tc>
        <w:tc>
          <w:tcPr>
            <w:tcW w:type="dxa" w:w="2268"/>
          </w:tcPr>
          <w:p>
            <w:r>
              <w:rPr>
                <w:sz w:val="20"/>
              </w:rPr>
              <w:t>单原子催化剂</w:t>
            </w:r>
          </w:p>
        </w:tc>
        <w:tc>
          <w:tcPr>
            <w:tcW w:type="dxa" w:w="2268"/>
          </w:tcPr>
          <w:p>
            <w:r>
              <w:rPr>
                <w:sz w:val="20"/>
              </w:rPr>
              <w:t>在反应中保持高活性</w:t>
            </w:r>
          </w:p>
        </w:tc>
        <w:tc>
          <w:tcPr>
            <w:tcW w:type="dxa" w:w="2268"/>
          </w:tcPr>
          <w:p>
            <w:r>
              <w:rPr>
                <w:sz w:val="20"/>
              </w:rPr>
              <w:t>类芬顿催化</w:t>
            </w:r>
          </w:p>
        </w:tc>
      </w:tr>
      <w:tr>
        <w:tc>
          <w:tcPr>
            <w:tcW w:type="dxa" w:w="850"/>
          </w:tcPr>
          <w:p>
            <w:r>
              <w:rPr>
                <w:sz w:val="20"/>
              </w:rPr>
              <w:t>3</w:t>
            </w:r>
          </w:p>
        </w:tc>
        <w:tc>
          <w:tcPr>
            <w:tcW w:type="dxa" w:w="2268"/>
          </w:tcPr>
          <w:p>
            <w:r>
              <w:rPr>
                <w:sz w:val="20"/>
              </w:rPr>
              <w:t>类芬顿催化</w:t>
            </w:r>
          </w:p>
        </w:tc>
        <w:tc>
          <w:tcPr>
            <w:tcW w:type="dxa" w:w="2268"/>
          </w:tcPr>
          <w:p>
            <w:r>
              <w:rPr>
                <w:sz w:val="20"/>
              </w:rPr>
              <w:t>通过结构设计打破</w:t>
            </w:r>
          </w:p>
        </w:tc>
        <w:tc>
          <w:tcPr>
            <w:tcW w:type="dxa" w:w="2268"/>
          </w:tcPr>
          <w:p>
            <w:r>
              <w:rPr>
                <w:sz w:val="20"/>
              </w:rPr>
              <w:t>活性-稳定性权衡</w:t>
            </w:r>
          </w:p>
        </w:tc>
      </w:tr>
    </w:tbl>
    <w:p/>
    <w:p>
      <w:r>
        <w:rPr>
          <w:b/>
        </w:rPr>
        <w:t xml:space="preserve">三级总结: </w:t>
      </w:r>
      <w:r/>
    </w:p>
    <w:p>
      <w:pPr>
        <w:pStyle w:val="ListBullet"/>
        <w:ind w:left="850"/>
      </w:pPr>
      <w:r>
        <w:t>氧化锌纳米结构通过稳定单原子催化剂提升催化活性，从而突破传统活性-稳定性矛盾</w:t>
      </w:r>
    </w:p>
    <w:p>
      <w:pPr>
        <w:pStyle w:val="ListBullet"/>
        <w:ind w:left="850"/>
      </w:pPr>
      <w:r>
        <w:t>催化剂特异性产生硫酸根自由基实现污染物高效降解，并在复杂水体中验证其环境适应性</w:t>
      </w:r>
    </w:p>
    <w:p/>
    <w:p>
      <w:pPr>
        <w:pStyle w:val="Heading3"/>
      </w:pPr>
      <w:r>
        <w:t>样例 2: High-entropy alloy enables multi-path electron synergism and lattice oxygen acti...</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电催化氧析出反应</w:t>
            </w:r>
          </w:p>
        </w:tc>
        <w:tc>
          <w:tcPr>
            <w:tcW w:type="dxa" w:w="2268"/>
          </w:tcPr>
          <w:p>
            <w:r>
              <w:rPr>
                <w:sz w:val="20"/>
              </w:rPr>
              <w:t>受限于</w:t>
            </w:r>
          </w:p>
        </w:tc>
        <w:tc>
          <w:tcPr>
            <w:tcW w:type="dxa" w:w="2268"/>
          </w:tcPr>
          <w:p>
            <w:r>
              <w:rPr>
                <w:sz w:val="20"/>
              </w:rPr>
              <w:t>晶格氧活化机制</w:t>
            </w:r>
          </w:p>
        </w:tc>
      </w:tr>
      <w:tr>
        <w:tc>
          <w:tcPr>
            <w:tcW w:type="dxa" w:w="850"/>
          </w:tcPr>
          <w:p>
            <w:r>
              <w:rPr>
                <w:sz w:val="20"/>
              </w:rPr>
              <w:t>2</w:t>
            </w:r>
          </w:p>
        </w:tc>
        <w:tc>
          <w:tcPr>
            <w:tcW w:type="dxa" w:w="2268"/>
          </w:tcPr>
          <w:p>
            <w:r>
              <w:rPr>
                <w:sz w:val="20"/>
              </w:rPr>
              <w:t>晶格氧活化机制</w:t>
            </w:r>
          </w:p>
        </w:tc>
        <w:tc>
          <w:tcPr>
            <w:tcW w:type="dxa" w:w="2268"/>
          </w:tcPr>
          <w:p>
            <w:r>
              <w:rPr>
                <w:sz w:val="20"/>
              </w:rPr>
              <w:t>需要</w:t>
            </w:r>
          </w:p>
        </w:tc>
        <w:tc>
          <w:tcPr>
            <w:tcW w:type="dxa" w:w="2268"/>
          </w:tcPr>
          <w:p>
            <w:r>
              <w:rPr>
                <w:sz w:val="20"/>
              </w:rPr>
              <w:t>高熵合金</w:t>
            </w:r>
          </w:p>
        </w:tc>
      </w:tr>
      <w:tr>
        <w:tc>
          <w:tcPr>
            <w:tcW w:type="dxa" w:w="850"/>
          </w:tcPr>
          <w:p>
            <w:r>
              <w:rPr>
                <w:sz w:val="20"/>
              </w:rPr>
              <w:t>3</w:t>
            </w:r>
          </w:p>
        </w:tc>
        <w:tc>
          <w:tcPr>
            <w:tcW w:type="dxa" w:w="2268"/>
          </w:tcPr>
          <w:p>
            <w:r>
              <w:rPr>
                <w:sz w:val="20"/>
              </w:rPr>
              <w:t>高熵合金</w:t>
            </w:r>
          </w:p>
        </w:tc>
        <w:tc>
          <w:tcPr>
            <w:tcW w:type="dxa" w:w="2268"/>
          </w:tcPr>
          <w:p>
            <w:r>
              <w:rPr>
                <w:sz w:val="20"/>
              </w:rPr>
              <w:t>通过材料科学设计</w:t>
            </w:r>
          </w:p>
        </w:tc>
        <w:tc>
          <w:tcPr>
            <w:tcW w:type="dxa" w:w="2268"/>
          </w:tcPr>
          <w:p>
            <w:r>
              <w:rPr>
                <w:sz w:val="20"/>
              </w:rPr>
              <w:t>镍钴双位点</w:t>
            </w:r>
          </w:p>
        </w:tc>
      </w:tr>
    </w:tbl>
    <w:p/>
    <w:p>
      <w:r>
        <w:rPr>
          <w:b/>
        </w:rPr>
        <w:t xml:space="preserve">一级总结: </w:t>
      </w:r>
      <w:r/>
    </w:p>
    <w:p>
      <w:pPr>
        <w:pStyle w:val="ListBullet"/>
        <w:ind w:left="850"/>
      </w:pPr>
      <w:r>
        <w:t>电催化氧析出反应的活性受限于晶格氧活化机制，需要材料科学设计高熵合金优化镍钴双位点来提升效率。</w:t>
      </w:r>
    </w:p>
    <w:p>
      <w:pPr>
        <w:pStyle w:val="ListBullet"/>
        <w:ind w:left="850"/>
      </w:pPr>
      <w:r>
        <w:t>电催化氧析出反应需要μ-过氧中间体的高效形成，化学分析优化四甲基氢氧化铵电解质环境与高熵结构协同提升反应活性。</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通过多组分协同形成</w:t>
            </w:r>
          </w:p>
        </w:tc>
        <w:tc>
          <w:tcPr>
            <w:tcW w:type="dxa" w:w="2268"/>
          </w:tcPr>
          <w:p>
            <w:r>
              <w:rPr>
                <w:sz w:val="20"/>
              </w:rPr>
              <w:t>高熵结构</w:t>
            </w:r>
          </w:p>
        </w:tc>
      </w:tr>
      <w:tr>
        <w:tc>
          <w:tcPr>
            <w:tcW w:type="dxa" w:w="850"/>
          </w:tcPr>
          <w:p>
            <w:r>
              <w:rPr>
                <w:sz w:val="20"/>
              </w:rPr>
              <w:t>2</w:t>
            </w:r>
          </w:p>
        </w:tc>
        <w:tc>
          <w:tcPr>
            <w:tcW w:type="dxa" w:w="2268"/>
          </w:tcPr>
          <w:p>
            <w:r>
              <w:rPr>
                <w:sz w:val="20"/>
              </w:rPr>
              <w:t>高熵结构</w:t>
            </w:r>
          </w:p>
        </w:tc>
        <w:tc>
          <w:tcPr>
            <w:tcW w:type="dxa" w:w="2268"/>
          </w:tcPr>
          <w:p>
            <w:r>
              <w:rPr>
                <w:sz w:val="20"/>
              </w:rPr>
              <w:t>促进</w:t>
            </w:r>
          </w:p>
        </w:tc>
        <w:tc>
          <w:tcPr>
            <w:tcW w:type="dxa" w:w="2268"/>
          </w:tcPr>
          <w:p>
            <w:r>
              <w:rPr>
                <w:sz w:val="20"/>
              </w:rPr>
              <w:t>晶格氧活化机制</w:t>
            </w:r>
          </w:p>
        </w:tc>
      </w:tr>
      <w:tr>
        <w:tc>
          <w:tcPr>
            <w:tcW w:type="dxa" w:w="850"/>
          </w:tcPr>
          <w:p>
            <w:r>
              <w:rPr>
                <w:sz w:val="20"/>
              </w:rPr>
              <w:t>3</w:t>
            </w:r>
          </w:p>
        </w:tc>
        <w:tc>
          <w:tcPr>
            <w:tcW w:type="dxa" w:w="2268"/>
          </w:tcPr>
          <w:p>
            <w:r>
              <w:rPr>
                <w:sz w:val="20"/>
              </w:rPr>
              <w:t>晶格氧活化机制</w:t>
            </w:r>
          </w:p>
        </w:tc>
        <w:tc>
          <w:tcPr>
            <w:tcW w:type="dxa" w:w="2268"/>
          </w:tcPr>
          <w:p>
            <w:r>
              <w:rPr>
                <w:sz w:val="20"/>
              </w:rPr>
              <w:t>提升</w:t>
            </w:r>
          </w:p>
        </w:tc>
        <w:tc>
          <w:tcPr>
            <w:tcW w:type="dxa" w:w="2268"/>
          </w:tcPr>
          <w:p>
            <w:r>
              <w:rPr>
                <w:sz w:val="20"/>
              </w:rPr>
              <w:t>电催化氧析出反应</w:t>
            </w:r>
          </w:p>
        </w:tc>
      </w:tr>
    </w:tbl>
    <w:p/>
    <w:p>
      <w:r>
        <w:rPr>
          <w:b/>
        </w:rPr>
        <w:t xml:space="preserve">二级总结: </w:t>
      </w:r>
      <w:r/>
    </w:p>
    <w:p>
      <w:pPr>
        <w:pStyle w:val="ListBullet"/>
        <w:ind w:left="850"/>
      </w:pPr>
      <w:r>
        <w:t>材料科学通过高熵合金的多组分协同形成高熵结构，促进晶格氧活化机制，最终提升化学领域的电催化反应活性</w:t>
      </w:r>
    </w:p>
    <w:p>
      <w:pPr>
        <w:pStyle w:val="ListBullet"/>
        <w:ind w:left="850"/>
      </w:pPr>
      <w:r>
        <w:t>化学分析方法通过拉曼光谱检测镍氧键振动，确认氢氧化镍活性位点结构，为优化电催化反应机制提供验证手段</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通过多组分协同设计</w:t>
            </w:r>
          </w:p>
        </w:tc>
        <w:tc>
          <w:tcPr>
            <w:tcW w:type="dxa" w:w="2268"/>
          </w:tcPr>
          <w:p>
            <w:r>
              <w:rPr>
                <w:sz w:val="20"/>
              </w:rPr>
              <w:t>镍钴双位点</w:t>
            </w:r>
          </w:p>
        </w:tc>
      </w:tr>
      <w:tr>
        <w:tc>
          <w:tcPr>
            <w:tcW w:type="dxa" w:w="850"/>
          </w:tcPr>
          <w:p>
            <w:r>
              <w:rPr>
                <w:sz w:val="20"/>
              </w:rPr>
              <w:t>2</w:t>
            </w:r>
          </w:p>
        </w:tc>
        <w:tc>
          <w:tcPr>
            <w:tcW w:type="dxa" w:w="2268"/>
          </w:tcPr>
          <w:p>
            <w:r>
              <w:rPr>
                <w:sz w:val="20"/>
              </w:rPr>
              <w:t>镍钴双位点</w:t>
            </w:r>
          </w:p>
        </w:tc>
        <w:tc>
          <w:tcPr>
            <w:tcW w:type="dxa" w:w="2268"/>
          </w:tcPr>
          <w:p>
            <w:r>
              <w:rPr>
                <w:sz w:val="20"/>
              </w:rPr>
              <w:t>有效激活</w:t>
            </w:r>
          </w:p>
        </w:tc>
        <w:tc>
          <w:tcPr>
            <w:tcW w:type="dxa" w:w="2268"/>
          </w:tcPr>
          <w:p>
            <w:r>
              <w:rPr>
                <w:sz w:val="20"/>
              </w:rPr>
              <w:t>晶格氧活化机制</w:t>
            </w:r>
          </w:p>
        </w:tc>
      </w:tr>
      <w:tr>
        <w:tc>
          <w:tcPr>
            <w:tcW w:type="dxa" w:w="850"/>
          </w:tcPr>
          <w:p>
            <w:r>
              <w:rPr>
                <w:sz w:val="20"/>
              </w:rPr>
              <w:t>3</w:t>
            </w:r>
          </w:p>
        </w:tc>
        <w:tc>
          <w:tcPr>
            <w:tcW w:type="dxa" w:w="2268"/>
          </w:tcPr>
          <w:p>
            <w:r>
              <w:rPr>
                <w:sz w:val="20"/>
              </w:rPr>
              <w:t>晶格氧活化机制</w:t>
            </w:r>
          </w:p>
        </w:tc>
        <w:tc>
          <w:tcPr>
            <w:tcW w:type="dxa" w:w="2268"/>
          </w:tcPr>
          <w:p>
            <w:r>
              <w:rPr>
                <w:sz w:val="20"/>
              </w:rPr>
              <w:t>显著降低</w:t>
            </w:r>
          </w:p>
        </w:tc>
        <w:tc>
          <w:tcPr>
            <w:tcW w:type="dxa" w:w="2268"/>
          </w:tcPr>
          <w:p>
            <w:r>
              <w:rPr>
                <w:sz w:val="20"/>
              </w:rPr>
              <w:t>过电位</w:t>
            </w:r>
          </w:p>
        </w:tc>
      </w:tr>
    </w:tbl>
    <w:p/>
    <w:p>
      <w:r>
        <w:rPr>
          <w:b/>
        </w:rPr>
        <w:t xml:space="preserve">三级总结: </w:t>
      </w:r>
      <w:r/>
    </w:p>
    <w:p>
      <w:pPr>
        <w:pStyle w:val="ListBullet"/>
        <w:ind w:left="850"/>
      </w:pPr>
      <w:r>
        <w:t>通过高熵合金的多组分协同设计优化镍钴双位点，激活晶格氧机制并降低过电位，形成材料设计与催化性能验证的闭环</w:t>
      </w:r>
    </w:p>
    <w:p>
      <w:pPr>
        <w:pStyle w:val="ListBullet"/>
        <w:ind w:left="850"/>
      </w:pPr>
      <w:r>
        <w:t>利用四甲基氢氧化铵电解质调控镍氧键，促进关键中间体形成并与高熵结构特性协同，实现反应路径优化与表征验证的闭环</w:t>
      </w:r>
    </w:p>
    <w:p/>
    <w:p>
      <w:pPr>
        <w:pStyle w:val="Heading3"/>
      </w:pPr>
      <w:r>
        <w:t>样例 3: MXene-Assisted NiFe sulfides for high-performance anion exchange membrane seawat...</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阴离子交换膜海水电解</w:t>
            </w:r>
          </w:p>
        </w:tc>
        <w:tc>
          <w:tcPr>
            <w:tcW w:type="dxa" w:w="2268"/>
          </w:tcPr>
          <w:p>
            <w:r>
              <w:rPr>
                <w:sz w:val="20"/>
              </w:rPr>
              <w:t>缺乏</w:t>
            </w:r>
          </w:p>
        </w:tc>
        <w:tc>
          <w:tcPr>
            <w:tcW w:type="dxa" w:w="2268"/>
          </w:tcPr>
          <w:p>
            <w:r>
              <w:rPr>
                <w:sz w:val="20"/>
              </w:rPr>
              <w:t>氧析出反应电催化剂</w:t>
            </w:r>
          </w:p>
        </w:tc>
      </w:tr>
      <w:tr>
        <w:tc>
          <w:tcPr>
            <w:tcW w:type="dxa" w:w="850"/>
          </w:tcPr>
          <w:p>
            <w:r>
              <w:rPr>
                <w:sz w:val="20"/>
              </w:rPr>
              <w:t>2</w:t>
            </w:r>
          </w:p>
        </w:tc>
        <w:tc>
          <w:tcPr>
            <w:tcW w:type="dxa" w:w="2268"/>
          </w:tcPr>
          <w:p>
            <w:r>
              <w:rPr>
                <w:sz w:val="20"/>
              </w:rPr>
              <w:t>氧析出反应电催化剂</w:t>
            </w:r>
          </w:p>
        </w:tc>
        <w:tc>
          <w:tcPr>
            <w:tcW w:type="dxa" w:w="2268"/>
          </w:tcPr>
          <w:p>
            <w:r>
              <w:rPr>
                <w:sz w:val="20"/>
              </w:rPr>
              <w:t>需通过</w:t>
            </w:r>
          </w:p>
        </w:tc>
        <w:tc>
          <w:tcPr>
            <w:tcW w:type="dxa" w:w="2268"/>
          </w:tcPr>
          <w:p>
            <w:r>
              <w:rPr>
                <w:sz w:val="20"/>
              </w:rPr>
              <w:t>关键结果</w:t>
            </w:r>
          </w:p>
        </w:tc>
      </w:tr>
      <w:tr>
        <w:tc>
          <w:tcPr>
            <w:tcW w:type="dxa" w:w="850"/>
          </w:tcPr>
          <w:p>
            <w:r>
              <w:rPr>
                <w:sz w:val="20"/>
              </w:rPr>
              <w:t>3</w:t>
            </w:r>
          </w:p>
        </w:tc>
        <w:tc>
          <w:tcPr>
            <w:tcW w:type="dxa" w:w="2268"/>
          </w:tcPr>
          <w:p>
            <w:r>
              <w:rPr>
                <w:sz w:val="20"/>
              </w:rPr>
              <w:t>关键结果</w:t>
            </w:r>
          </w:p>
        </w:tc>
        <w:tc>
          <w:tcPr>
            <w:tcW w:type="dxa" w:w="2268"/>
          </w:tcPr>
          <w:p>
            <w:r>
              <w:rPr>
                <w:sz w:val="20"/>
              </w:rPr>
              <w:t>整合形成</w:t>
            </w:r>
          </w:p>
        </w:tc>
        <w:tc>
          <w:tcPr>
            <w:tcW w:type="dxa" w:w="2268"/>
          </w:tcPr>
          <w:p>
            <w:r>
              <w:rPr>
                <w:sz w:val="20"/>
              </w:rPr>
              <w:t>硫化物</w:t>
            </w:r>
          </w:p>
        </w:tc>
      </w:tr>
    </w:tbl>
    <w:p/>
    <w:p>
      <w:r>
        <w:rPr>
          <w:b/>
        </w:rPr>
        <w:t xml:space="preserve">一级总结: </w:t>
      </w:r>
      <w:r/>
    </w:p>
    <w:p>
      <w:pPr>
        <w:pStyle w:val="ListBullet"/>
        <w:ind w:left="850"/>
      </w:pPr>
      <w:r>
        <w:t>化学领域在阴离子交换膜海水电解中面临催化剂不足的瓶颈，需材料科学通过硫化物复合材料提升催化效率</w:t>
      </w:r>
    </w:p>
    <w:p>
      <w:pPr>
        <w:pStyle w:val="ListBullet"/>
        <w:ind w:left="850"/>
      </w:pPr>
      <w:r>
        <w:t>化学系统长期稳定性受限于材料耐久性，需材料科学提供键增强抗腐蚀能力实现稳定运行</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关键前提</w:t>
            </w:r>
          </w:p>
        </w:tc>
        <w:tc>
          <w:tcPr>
            <w:tcW w:type="dxa" w:w="2268"/>
          </w:tcPr>
          <w:p>
            <w:r>
              <w:rPr>
                <w:sz w:val="20"/>
              </w:rPr>
              <w:t>整合形成复合材料</w:t>
            </w:r>
          </w:p>
        </w:tc>
        <w:tc>
          <w:tcPr>
            <w:tcW w:type="dxa" w:w="2268"/>
          </w:tcPr>
          <w:p>
            <w:r>
              <w:rPr>
                <w:sz w:val="20"/>
              </w:rPr>
              <w:t>硫化物</w:t>
            </w:r>
          </w:p>
        </w:tc>
      </w:tr>
      <w:tr>
        <w:tc>
          <w:tcPr>
            <w:tcW w:type="dxa" w:w="850"/>
          </w:tcPr>
          <w:p>
            <w:r>
              <w:rPr>
                <w:sz w:val="20"/>
              </w:rPr>
              <w:t>2</w:t>
            </w:r>
          </w:p>
        </w:tc>
        <w:tc>
          <w:tcPr>
            <w:tcW w:type="dxa" w:w="2268"/>
          </w:tcPr>
          <w:p>
            <w:r>
              <w:rPr>
                <w:sz w:val="20"/>
              </w:rPr>
              <w:t>硫化物</w:t>
            </w:r>
          </w:p>
        </w:tc>
        <w:tc>
          <w:tcPr>
            <w:tcW w:type="dxa" w:w="2268"/>
          </w:tcPr>
          <w:p>
            <w:r>
              <w:rPr>
                <w:sz w:val="20"/>
              </w:rPr>
              <w:t>触发电子重分布</w:t>
            </w:r>
          </w:p>
        </w:tc>
        <w:tc>
          <w:tcPr>
            <w:tcW w:type="dxa" w:w="2268"/>
          </w:tcPr>
          <w:p>
            <w:r>
              <w:rPr>
                <w:sz w:val="20"/>
              </w:rPr>
              <w:t>晶格氧机制</w:t>
            </w:r>
          </w:p>
        </w:tc>
      </w:tr>
      <w:tr>
        <w:tc>
          <w:tcPr>
            <w:tcW w:type="dxa" w:w="850"/>
          </w:tcPr>
          <w:p>
            <w:r>
              <w:rPr>
                <w:sz w:val="20"/>
              </w:rPr>
              <w:t>3</w:t>
            </w:r>
          </w:p>
        </w:tc>
        <w:tc>
          <w:tcPr>
            <w:tcW w:type="dxa" w:w="2268"/>
          </w:tcPr>
          <w:p>
            <w:r>
              <w:rPr>
                <w:sz w:val="20"/>
              </w:rPr>
              <w:t>晶格氧机制</w:t>
            </w:r>
          </w:p>
        </w:tc>
        <w:tc>
          <w:tcPr>
            <w:tcW w:type="dxa" w:w="2268"/>
          </w:tcPr>
          <w:p>
            <w:r>
              <w:rPr>
                <w:sz w:val="20"/>
              </w:rPr>
              <w:t>提升催化效率</w:t>
            </w:r>
          </w:p>
        </w:tc>
        <w:tc>
          <w:tcPr>
            <w:tcW w:type="dxa" w:w="2268"/>
          </w:tcPr>
          <w:p>
            <w:r>
              <w:rPr>
                <w:sz w:val="20"/>
              </w:rPr>
              <w:t>活性</w:t>
            </w:r>
          </w:p>
        </w:tc>
      </w:tr>
    </w:tbl>
    <w:p/>
    <w:p>
      <w:r>
        <w:rPr>
          <w:b/>
        </w:rPr>
        <w:t xml:space="preserve">二级总结: </w:t>
      </w:r>
      <w:r/>
    </w:p>
    <w:p>
      <w:pPr>
        <w:pStyle w:val="ListBullet"/>
        <w:ind w:left="850"/>
      </w:pPr>
      <w:r>
        <w:t>通过材料科学中的与硫化物复合，触发晶格氧机制提升化学领域的催化效率</w:t>
      </w:r>
    </w:p>
    <w:p>
      <w:pPr>
        <w:pStyle w:val="ListBullet"/>
        <w:ind w:left="850"/>
      </w:pPr>
      <w:r>
        <w:t>利用材料科学的电极结构优化，通过化学键合实现海水电解系统的长期稳定性提升</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硫化物</w:t>
            </w:r>
          </w:p>
        </w:tc>
        <w:tc>
          <w:tcPr>
            <w:tcW w:type="dxa" w:w="2268"/>
          </w:tcPr>
          <w:p>
            <w:r>
              <w:rPr>
                <w:sz w:val="20"/>
              </w:rPr>
              <w:t>触发</w:t>
            </w:r>
          </w:p>
        </w:tc>
        <w:tc>
          <w:tcPr>
            <w:tcW w:type="dxa" w:w="2268"/>
          </w:tcPr>
          <w:p>
            <w:r>
              <w:rPr>
                <w:sz w:val="20"/>
              </w:rPr>
              <w:t>晶格氧机制</w:t>
            </w:r>
          </w:p>
        </w:tc>
      </w:tr>
      <w:tr>
        <w:tc>
          <w:tcPr>
            <w:tcW w:type="dxa" w:w="850"/>
          </w:tcPr>
          <w:p>
            <w:r>
              <w:rPr>
                <w:sz w:val="20"/>
              </w:rPr>
              <w:t>2</w:t>
            </w:r>
          </w:p>
        </w:tc>
        <w:tc>
          <w:tcPr>
            <w:tcW w:type="dxa" w:w="2268"/>
          </w:tcPr>
          <w:p>
            <w:r>
              <w:rPr>
                <w:sz w:val="20"/>
              </w:rPr>
              <w:t>晶格氧机制</w:t>
            </w:r>
          </w:p>
        </w:tc>
        <w:tc>
          <w:tcPr>
            <w:tcW w:type="dxa" w:w="2268"/>
          </w:tcPr>
          <w:p>
            <w:r>
              <w:rPr>
                <w:sz w:val="20"/>
              </w:rPr>
              <w:t>提升</w:t>
            </w:r>
          </w:p>
        </w:tc>
        <w:tc>
          <w:tcPr>
            <w:tcW w:type="dxa" w:w="2268"/>
          </w:tcPr>
          <w:p>
            <w:r>
              <w:rPr>
                <w:sz w:val="20"/>
              </w:rPr>
              <w:t>活性</w:t>
            </w:r>
          </w:p>
        </w:tc>
      </w:tr>
      <w:tr>
        <w:tc>
          <w:tcPr>
            <w:tcW w:type="dxa" w:w="850"/>
          </w:tcPr>
          <w:p>
            <w:r>
              <w:rPr>
                <w:sz w:val="20"/>
              </w:rPr>
              <w:t>3</w:t>
            </w:r>
          </w:p>
        </w:tc>
        <w:tc>
          <w:tcPr>
            <w:tcW w:type="dxa" w:w="2268"/>
          </w:tcPr>
          <w:p>
            <w:r>
              <w:rPr>
                <w:sz w:val="20"/>
              </w:rPr>
              <w:t>活性</w:t>
            </w:r>
          </w:p>
        </w:tc>
        <w:tc>
          <w:tcPr>
            <w:tcW w:type="dxa" w:w="2268"/>
          </w:tcPr>
          <w:p>
            <w:r>
              <w:rPr>
                <w:sz w:val="20"/>
              </w:rPr>
              <w:t>验证</w:t>
            </w:r>
          </w:p>
        </w:tc>
        <w:tc>
          <w:tcPr>
            <w:tcW w:type="dxa" w:w="2268"/>
          </w:tcPr>
          <w:p>
            <w:r>
              <w:rPr>
                <w:sz w:val="20"/>
              </w:rPr>
              <w:t>氧析出反应电催化剂</w:t>
            </w:r>
          </w:p>
        </w:tc>
      </w:tr>
    </w:tbl>
    <w:p/>
    <w:p>
      <w:r>
        <w:rPr>
          <w:b/>
        </w:rPr>
        <w:t xml:space="preserve">三级总结: </w:t>
      </w:r>
      <w:r/>
    </w:p>
    <w:p>
      <w:pPr>
        <w:pStyle w:val="ListBullet"/>
        <w:ind w:left="850"/>
      </w:pPr>
      <w:r>
        <w:t>硫化物通过触发晶格氧机制提升催化活性，最终验证氧析出反应电催化剂的性能改进</w:t>
      </w:r>
    </w:p>
    <w:p>
      <w:pPr>
        <w:pStyle w:val="ListBullet"/>
        <w:ind w:left="850"/>
      </w:pPr>
      <w:r>
        <w:t>气体扩散层与阴离子交换膜的协同优化增强抗腐蚀性，验证海水电解系统稳定性提升</w:t>
      </w:r>
    </w:p>
    <w:p/>
    <w:p>
      <w:r>
        <w:br w:type="page"/>
      </w:r>
    </w:p>
    <w:p>
      <w:pPr>
        <w:pStyle w:val="Heading1"/>
      </w:pPr>
      <w:r>
        <w:t>七、Stage 2e：知识图谱构建与指标</w:t>
      </w:r>
    </w:p>
    <w:p>
      <w:r>
        <w:t>基于抽取的概念和关系构建知识图谱，计算 15+ 维度的图谱质量指标。</w:t>
      </w:r>
    </w:p>
    <w:p>
      <w:pPr>
        <w:pStyle w:val="Heading2"/>
      </w:pPr>
      <w:r>
        <w:t>7.1 图谱指标样例（3篇）</w:t>
      </w:r>
    </w:p>
    <w:p>
      <w:pPr>
        <w:pStyle w:val="Heading3"/>
      </w:pPr>
      <w:r>
        <w:t>样例 1: Nano-island-encapsulated cobalt single-atom catalysts for breaking activity-stab...</w:t>
      </w:r>
    </w:p>
    <w:p>
      <w:r>
        <w:rPr>
          <w:b/>
        </w:rPr>
        <w:t xml:space="preserve">图谱规模: </w:t>
      </w:r>
      <w:r>
        <w:t>18 个节点, 27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0.2778</w:t>
            </w:r>
          </w:p>
        </w:tc>
      </w:tr>
      <w:tr>
        <w:tc>
          <w:tcPr>
            <w:tcW w:type="dxa" w:w="3402"/>
          </w:tcPr>
          <w:p>
            <w:r>
              <w:rPr>
                <w:sz w:val="20"/>
              </w:rPr>
              <w:t>coverage</w:t>
            </w:r>
          </w:p>
        </w:tc>
        <w:tc>
          <w:tcPr>
            <w:tcW w:type="dxa" w:w="2268"/>
          </w:tcPr>
          <w:p>
            <w:r>
              <w:rPr>
                <w:sz w:val="20"/>
              </w:rPr>
              <w:t>0.6667</w:t>
            </w:r>
          </w:p>
        </w:tc>
      </w:tr>
      <w:tr>
        <w:tc>
          <w:tcPr>
            <w:tcW w:type="dxa" w:w="3402"/>
          </w:tcPr>
          <w:p>
            <w:r>
              <w:rPr>
                <w:sz w:val="20"/>
              </w:rPr>
              <w:t>bridging_score</w:t>
            </w:r>
          </w:p>
        </w:tc>
        <w:tc>
          <w:tcPr>
            <w:tcW w:type="dxa" w:w="2268"/>
          </w:tcPr>
          <w:p>
            <w:r>
              <w:rPr>
                <w:sz w:val="20"/>
              </w:rPr>
              <w:t>0.2083</w:t>
            </w:r>
          </w:p>
        </w:tc>
      </w:tr>
      <w:tr>
        <w:tc>
          <w:tcPr>
            <w:tcW w:type="dxa" w:w="3402"/>
          </w:tcPr>
          <w:p>
            <w:r>
              <w:rPr>
                <w:sz w:val="20"/>
              </w:rPr>
              <w:t>rao_stirling_diversity</w:t>
            </w:r>
          </w:p>
        </w:tc>
        <w:tc>
          <w:tcPr>
            <w:tcW w:type="dxa" w:w="2268"/>
          </w:tcPr>
          <w:p>
            <w:r>
              <w:rPr>
                <w:sz w:val="20"/>
              </w:rPr>
              <w:t>0.1114</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2: High-entropy alloy enables multi-path electron synergism and lattice oxygen acti...</w:t>
      </w:r>
    </w:p>
    <w:p>
      <w:r>
        <w:rPr>
          <w:b/>
        </w:rPr>
        <w:t xml:space="preserve">图谱规模: </w:t>
      </w:r>
      <w:r>
        <w:t>18 个节点, 23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0.1111</w:t>
            </w:r>
          </w:p>
        </w:tc>
      </w:tr>
      <w:tr>
        <w:tc>
          <w:tcPr>
            <w:tcW w:type="dxa" w:w="3402"/>
          </w:tcPr>
          <w:p>
            <w:r>
              <w:rPr>
                <w:sz w:val="20"/>
              </w:rPr>
              <w:t>coverage</w:t>
            </w:r>
          </w:p>
        </w:tc>
        <w:tc>
          <w:tcPr>
            <w:tcW w:type="dxa" w:w="2268"/>
          </w:tcPr>
          <w:p>
            <w:r>
              <w:rPr>
                <w:sz w:val="20"/>
              </w:rPr>
              <w:t>0.6471</w:t>
            </w:r>
          </w:p>
        </w:tc>
      </w:tr>
      <w:tr>
        <w:tc>
          <w:tcPr>
            <w:tcW w:type="dxa" w:w="3402"/>
          </w:tcPr>
          <w:p>
            <w:r>
              <w:rPr>
                <w:sz w:val="20"/>
              </w:rPr>
              <w:t>bridging_score</w:t>
            </w:r>
          </w:p>
        </w:tc>
        <w:tc>
          <w:tcPr>
            <w:tcW w:type="dxa" w:w="2268"/>
          </w:tcPr>
          <w:p>
            <w:r>
              <w:rPr>
                <w:sz w:val="20"/>
              </w:rPr>
              <w:t>0.2273</w:t>
            </w:r>
          </w:p>
        </w:tc>
      </w:tr>
      <w:tr>
        <w:tc>
          <w:tcPr>
            <w:tcW w:type="dxa" w:w="3402"/>
          </w:tcPr>
          <w:p>
            <w:r>
              <w:rPr>
                <w:sz w:val="20"/>
              </w:rPr>
              <w:t>rao_stirling_diversity</w:t>
            </w:r>
          </w:p>
        </w:tc>
        <w:tc>
          <w:tcPr>
            <w:tcW w:type="dxa" w:w="2268"/>
          </w:tcPr>
          <w:p>
            <w:r>
              <w:rPr>
                <w:sz w:val="20"/>
              </w:rPr>
              <w:t>0.0658</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3: MXene-Assisted NiFe sulfides for high-performance anion exchange membrane seawat...</w:t>
      </w:r>
    </w:p>
    <w:p>
      <w:r>
        <w:rPr>
          <w:b/>
        </w:rPr>
        <w:t xml:space="preserve">图谱规模: </w:t>
      </w:r>
      <w:r>
        <w:t>18 个节点, 28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0.1111</w:t>
            </w:r>
          </w:p>
        </w:tc>
      </w:tr>
      <w:tr>
        <w:tc>
          <w:tcPr>
            <w:tcW w:type="dxa" w:w="3402"/>
          </w:tcPr>
          <w:p>
            <w:r>
              <w:rPr>
                <w:sz w:val="20"/>
              </w:rPr>
              <w:t>coverage</w:t>
            </w:r>
          </w:p>
        </w:tc>
        <w:tc>
          <w:tcPr>
            <w:tcW w:type="dxa" w:w="2268"/>
          </w:tcPr>
          <w:p>
            <w:r>
              <w:rPr>
                <w:sz w:val="20"/>
              </w:rPr>
              <w:t>0.6667</w:t>
            </w:r>
          </w:p>
        </w:tc>
      </w:tr>
      <w:tr>
        <w:tc>
          <w:tcPr>
            <w:tcW w:type="dxa" w:w="3402"/>
          </w:tcPr>
          <w:p>
            <w:r>
              <w:rPr>
                <w:sz w:val="20"/>
              </w:rPr>
              <w:t>bridging_score</w:t>
            </w:r>
          </w:p>
        </w:tc>
        <w:tc>
          <w:tcPr>
            <w:tcW w:type="dxa" w:w="2268"/>
          </w:tcPr>
          <w:p>
            <w:r>
              <w:rPr>
                <w:sz w:val="20"/>
              </w:rPr>
              <w:t>0.2083</w:t>
            </w:r>
          </w:p>
        </w:tc>
      </w:tr>
      <w:tr>
        <w:tc>
          <w:tcPr>
            <w:tcW w:type="dxa" w:w="3402"/>
          </w:tcPr>
          <w:p>
            <w:r>
              <w:rPr>
                <w:sz w:val="20"/>
              </w:rPr>
              <w:t>rao_stirling_diversity</w:t>
            </w:r>
          </w:p>
        </w:tc>
        <w:tc>
          <w:tcPr>
            <w:tcW w:type="dxa" w:w="2268"/>
          </w:tcPr>
          <w:p>
            <w:r>
              <w:rPr>
                <w:sz w:val="20"/>
              </w:rPr>
              <w:t>0.0992</w:t>
            </w:r>
          </w:p>
        </w:tc>
      </w:tr>
      <w:tr>
        <w:tc>
          <w:tcPr>
            <w:tcW w:type="dxa" w:w="3402"/>
          </w:tcPr>
          <w:p>
            <w:r>
              <w:rPr>
                <w:sz w:val="20"/>
              </w:rPr>
              <w:t>embedding_bridging</w:t>
            </w:r>
          </w:p>
        </w:tc>
        <w:tc>
          <w:tcPr>
            <w:tcW w:type="dxa" w:w="2268"/>
          </w:tcPr>
          <w:p>
            <w:r>
              <w:rPr>
                <w:sz w:val="20"/>
              </w:rPr>
              <w:t>0.9166</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r>
        <w:br w:type="page"/>
      </w:r>
    </w:p>
    <w:p>
      <w:pPr>
        <w:pStyle w:val="Heading1"/>
      </w:pPr>
      <w:r>
        <w:t>八、Stage 3：Benchmark GT 数据集构建</w:t>
      </w:r>
    </w:p>
    <w:p>
      <w:r>
        <w:t>从抽取结果中构建 Evidence-Grounded 的 Ground Truth 数据集，用于后续评测。GT 包含术语、关系和跨学科路径。</w:t>
      </w:r>
    </w:p>
    <w:p>
      <w:pPr>
        <w:pStyle w:val="Heading2"/>
      </w:pPr>
      <w:r>
        <w:t>8.1 GT 样例（3条）</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t>化学, 材料科学, 环境科学技术</w:t>
      </w:r>
    </w:p>
    <w:p>
      <w:r>
        <w:rPr>
          <w:b/>
        </w:rPr>
        <w:t xml:space="preserve">GT 术语数: </w:t>
      </w:r>
      <w:r>
        <w:t>18</w:t>
      </w:r>
    </w:p>
    <w:p>
      <w:r>
        <w:rPr>
          <w:b/>
        </w:rPr>
        <w:t xml:space="preserve">GT 关系数: </w:t>
      </w:r>
      <w:r>
        <w:t>3</w:t>
      </w:r>
    </w:p>
    <w:p>
      <w:r>
        <w:rPr>
          <w:b/>
        </w:rPr>
        <w:t xml:space="preserve">GT 路径数: </w:t>
      </w:r>
      <w:r>
        <w:t>2</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t>化学, 材料科学</w:t>
      </w:r>
    </w:p>
    <w:p>
      <w:r>
        <w:rPr>
          <w:b/>
        </w:rPr>
        <w:t xml:space="preserve">GT 术语数: </w:t>
      </w:r>
      <w:r>
        <w:t>18</w:t>
      </w:r>
    </w:p>
    <w:p>
      <w:r>
        <w:rPr>
          <w:b/>
        </w:rPr>
        <w:t xml:space="preserve">GT 关系数: </w:t>
      </w:r>
      <w:r>
        <w:t>3</w:t>
      </w:r>
    </w:p>
    <w:p>
      <w:r>
        <w:rPr>
          <w:b/>
        </w:rPr>
        <w:t xml:space="preserve">GT 路径数: </w:t>
      </w:r>
      <w:r>
        <w:t>0</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t>化学, 材料科学</w:t>
      </w:r>
    </w:p>
    <w:p>
      <w:r>
        <w:rPr>
          <w:b/>
        </w:rPr>
        <w:t xml:space="preserve">GT 术语数: </w:t>
      </w:r>
      <w:r>
        <w:t>19</w:t>
      </w:r>
    </w:p>
    <w:p>
      <w:r>
        <w:rPr>
          <w:b/>
        </w:rPr>
        <w:t xml:space="preserve">GT 关系数: </w:t>
      </w:r>
      <w:r>
        <w:t>3</w:t>
      </w:r>
    </w:p>
    <w:p>
      <w:r>
        <w:rPr>
          <w:b/>
        </w:rPr>
        <w:t xml:space="preserve">GT 路径数: </w:t>
      </w:r>
      <w:r>
        <w:t>1</w:t>
      </w:r>
    </w:p>
    <w:p/>
    <w:p>
      <w:r>
        <w:br w:type="page"/>
      </w:r>
    </w:p>
    <w:p>
      <w:pPr>
        <w:pStyle w:val="Heading1"/>
      </w:pPr>
      <w:r>
        <w:t>九、Stage 4：P1-P5 五级 Prompt 消融实验</w:t>
      </w:r>
    </w:p>
    <w:p>
      <w:r>
        <w:t>对测试集论文，分别使用 P1-P5 五种不同信息量的 Prompt 生成假设，用于评估不同引导程度对跨学科假设生成质量的影响。</w:t>
      </w:r>
    </w:p>
    <w:p>
      <w:pPr>
        <w:pStyle w:val="Heading2"/>
      </w:pPr>
      <w:r>
        <w:t>9.1 P1-P5 级别说明</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级别</w:t>
            </w:r>
          </w:p>
        </w:tc>
        <w:tc>
          <w:tcPr>
            <w:tcW w:type="dxa" w:w="1417"/>
          </w:tcPr>
          <w:p>
            <w:pPr>
              <w:jc w:val="center"/>
            </w:pPr>
            <w:r>
              <w:rPr>
                <w:b/>
                <w:sz w:val="20"/>
              </w:rPr>
              <w:t>Query</w:t>
            </w:r>
          </w:p>
        </w:tc>
        <w:tc>
          <w:tcPr>
            <w:tcW w:type="dxa" w:w="1984"/>
          </w:tcPr>
          <w:p>
            <w:pPr>
              <w:jc w:val="center"/>
            </w:pPr>
            <w:r>
              <w:rPr>
                <w:b/>
                <w:sz w:val="20"/>
              </w:rPr>
              <w:t>论文信息</w:t>
            </w:r>
          </w:p>
        </w:tc>
        <w:tc>
          <w:tcPr>
            <w:tcW w:type="dxa" w:w="1984"/>
          </w:tcPr>
          <w:p>
            <w:pPr>
              <w:jc w:val="center"/>
            </w:pPr>
            <w:r>
              <w:rPr>
                <w:b/>
                <w:sz w:val="20"/>
              </w:rPr>
              <w:t>结构化知识</w:t>
            </w:r>
          </w:p>
        </w:tc>
        <w:tc>
          <w:tcPr>
            <w:tcW w:type="dxa" w:w="1701"/>
          </w:tcPr>
          <w:p>
            <w:pPr>
              <w:jc w:val="center"/>
            </w:pPr>
            <w:r>
              <w:rPr>
                <w:b/>
                <w:sz w:val="20"/>
              </w:rPr>
              <w:t>格式</w:t>
            </w:r>
          </w:p>
        </w:tc>
      </w:tr>
      <w:tr>
        <w:tc>
          <w:tcPr>
            <w:tcW w:type="dxa" w:w="850"/>
          </w:tcPr>
          <w:p>
            <w:r>
              <w:rPr>
                <w:sz w:val="20"/>
              </w:rPr>
              <w:t>P1</w:t>
            </w:r>
          </w:p>
        </w:tc>
        <w:tc>
          <w:tcPr>
            <w:tcW w:type="dxa" w:w="1417"/>
          </w:tcPr>
          <w:p>
            <w:r>
              <w:rPr>
                <w:sz w:val="20"/>
              </w:rPr>
              <w:t>L1 only</w:t>
            </w:r>
          </w:p>
        </w:tc>
        <w:tc>
          <w:tcPr>
            <w:tcW w:type="dxa" w:w="1984"/>
          </w:tcPr>
          <w:p>
            <w:r>
              <w:rPr>
                <w:sz w:val="20"/>
              </w:rPr>
              <w:t>无</w:t>
            </w:r>
          </w:p>
        </w:tc>
        <w:tc>
          <w:tcPr>
            <w:tcW w:type="dxa" w:w="1984"/>
          </w:tcPr>
          <w:p>
            <w:r>
              <w:rPr>
                <w:sz w:val="20"/>
              </w:rPr>
              <w:t>无</w:t>
            </w:r>
          </w:p>
        </w:tc>
        <w:tc>
          <w:tcPr>
            <w:tcW w:type="dxa" w:w="1701"/>
          </w:tcPr>
          <w:p>
            <w:r>
              <w:rPr>
                <w:sz w:val="20"/>
              </w:rPr>
              <w:t>自由文本</w:t>
            </w:r>
          </w:p>
        </w:tc>
      </w:tr>
      <w:tr>
        <w:tc>
          <w:tcPr>
            <w:tcW w:type="dxa" w:w="850"/>
          </w:tcPr>
          <w:p>
            <w:r>
              <w:rPr>
                <w:sz w:val="20"/>
              </w:rPr>
              <w:t>P2</w:t>
            </w:r>
          </w:p>
        </w:tc>
        <w:tc>
          <w:tcPr>
            <w:tcW w:type="dxa" w:w="1417"/>
          </w:tcPr>
          <w:p>
            <w:r>
              <w:rPr>
                <w:sz w:val="20"/>
              </w:rPr>
              <w:t>L1 + L2</w:t>
            </w:r>
          </w:p>
        </w:tc>
        <w:tc>
          <w:tcPr>
            <w:tcW w:type="dxa" w:w="1984"/>
          </w:tcPr>
          <w:p>
            <w:r>
              <w:rPr>
                <w:sz w:val="20"/>
              </w:rPr>
              <w:t>abstract + 学科角色</w:t>
            </w:r>
          </w:p>
        </w:tc>
        <w:tc>
          <w:tcPr>
            <w:tcW w:type="dxa" w:w="1984"/>
          </w:tcPr>
          <w:p>
            <w:r>
              <w:rPr>
                <w:sz w:val="20"/>
              </w:rPr>
              <w:t>无</w:t>
            </w:r>
          </w:p>
        </w:tc>
        <w:tc>
          <w:tcPr>
            <w:tcW w:type="dxa" w:w="1701"/>
          </w:tcPr>
          <w:p>
            <w:r>
              <w:rPr>
                <w:sz w:val="20"/>
              </w:rPr>
              <w:t>自由文本</w:t>
            </w:r>
          </w:p>
        </w:tc>
      </w:tr>
      <w:tr>
        <w:tc>
          <w:tcPr>
            <w:tcW w:type="dxa" w:w="850"/>
          </w:tcPr>
          <w:p>
            <w:r>
              <w:rPr>
                <w:sz w:val="20"/>
              </w:rPr>
              <w:t>P3</w:t>
            </w:r>
          </w:p>
        </w:tc>
        <w:tc>
          <w:tcPr>
            <w:tcW w:type="dxa" w:w="1417"/>
          </w:tcPr>
          <w:p>
            <w:r>
              <w:rPr>
                <w:sz w:val="20"/>
              </w:rPr>
              <w:t>L1+L2+L3</w:t>
            </w:r>
          </w:p>
        </w:tc>
        <w:tc>
          <w:tcPr>
            <w:tcW w:type="dxa" w:w="1984"/>
          </w:tcPr>
          <w:p>
            <w:r>
              <w:rPr>
                <w:sz w:val="20"/>
              </w:rPr>
              <w:t>abstract + 学科角色</w:t>
            </w:r>
          </w:p>
        </w:tc>
        <w:tc>
          <w:tcPr>
            <w:tcW w:type="dxa" w:w="1984"/>
          </w:tcPr>
          <w:p>
            <w:r>
              <w:rPr>
                <w:sz w:val="20"/>
              </w:rPr>
              <w:t>概念列表</w:t>
            </w:r>
          </w:p>
        </w:tc>
        <w:tc>
          <w:tcPr>
            <w:tcW w:type="dxa" w:w="1701"/>
          </w:tcPr>
          <w:p>
            <w:r>
              <w:rPr>
                <w:sz w:val="20"/>
              </w:rPr>
              <w:t>半结构化</w:t>
            </w:r>
          </w:p>
        </w:tc>
      </w:tr>
      <w:tr>
        <w:tc>
          <w:tcPr>
            <w:tcW w:type="dxa" w:w="850"/>
          </w:tcPr>
          <w:p>
            <w:r>
              <w:rPr>
                <w:sz w:val="20"/>
              </w:rPr>
              <w:t>P4</w:t>
            </w:r>
          </w:p>
        </w:tc>
        <w:tc>
          <w:tcPr>
            <w:tcW w:type="dxa" w:w="1417"/>
          </w:tcPr>
          <w:p>
            <w:r>
              <w:rPr>
                <w:sz w:val="20"/>
              </w:rPr>
              <w:t>L1+L2+L3</w:t>
            </w:r>
          </w:p>
        </w:tc>
        <w:tc>
          <w:tcPr>
            <w:tcW w:type="dxa" w:w="1984"/>
          </w:tcPr>
          <w:p>
            <w:r>
              <w:rPr>
                <w:sz w:val="20"/>
              </w:rPr>
              <w:t>abstract + 学科角色</w:t>
            </w:r>
          </w:p>
        </w:tc>
        <w:tc>
          <w:tcPr>
            <w:tcW w:type="dxa" w:w="1984"/>
          </w:tcPr>
          <w:p>
            <w:r>
              <w:rPr>
                <w:sz w:val="20"/>
              </w:rPr>
              <w:t>概念 + 关系</w:t>
            </w:r>
          </w:p>
        </w:tc>
        <w:tc>
          <w:tcPr>
            <w:tcW w:type="dxa" w:w="1701"/>
          </w:tcPr>
          <w:p>
            <w:r>
              <w:rPr>
                <w:sz w:val="20"/>
              </w:rPr>
              <w:t>半结构化</w:t>
            </w:r>
          </w:p>
        </w:tc>
      </w:tr>
      <w:tr>
        <w:tc>
          <w:tcPr>
            <w:tcW w:type="dxa" w:w="850"/>
          </w:tcPr>
          <w:p>
            <w:r>
              <w:rPr>
                <w:sz w:val="20"/>
              </w:rPr>
              <w:t>P5</w:t>
            </w:r>
          </w:p>
        </w:tc>
        <w:tc>
          <w:tcPr>
            <w:tcW w:type="dxa" w:w="1417"/>
          </w:tcPr>
          <w:p>
            <w:r>
              <w:rPr>
                <w:sz w:val="20"/>
              </w:rPr>
              <w:t>L1+L2+L3</w:t>
            </w:r>
          </w:p>
        </w:tc>
        <w:tc>
          <w:tcPr>
            <w:tcW w:type="dxa" w:w="1984"/>
          </w:tcPr>
          <w:p>
            <w:r>
              <w:rPr>
                <w:sz w:val="20"/>
              </w:rPr>
              <w:t>完整结构化摘要</w:t>
            </w:r>
          </w:p>
        </w:tc>
        <w:tc>
          <w:tcPr>
            <w:tcW w:type="dxa" w:w="1984"/>
          </w:tcPr>
          <w:p>
            <w:r>
              <w:rPr>
                <w:sz w:val="20"/>
              </w:rPr>
              <w:t>概念+关系+路径</w:t>
            </w:r>
          </w:p>
        </w:tc>
        <w:tc>
          <w:tcPr>
            <w:tcW w:type="dxa" w:w="1701"/>
          </w:tcPr>
          <w:p>
            <w:r>
              <w:rPr>
                <w:sz w:val="20"/>
              </w:rPr>
              <w:t>3-step 路径</w:t>
            </w:r>
          </w:p>
        </w:tc>
      </w:tr>
    </w:tbl>
    <w:p/>
    <w:p>
      <w:pPr>
        <w:pStyle w:val="Heading2"/>
      </w:pPr>
      <w:r>
        <w:t>9.2 P1-P5 生成样例</w:t>
      </w:r>
    </w:p>
    <w:p>
      <w:pPr>
        <w:pStyle w:val="Heading3"/>
      </w:pPr>
      <w:r>
        <w:t>P1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8.0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**Hypothesis:**  </w:t>
      </w:r>
    </w:p>
    <w:p>
      <w:pPr>
        <w:spacing w:before="0" w:after="0" w:line="276" w:lineRule="auto"/>
        <w:ind w:left="567"/>
      </w:pPr>
      <w:r>
        <w:rPr>
          <w:rFonts w:ascii="Consolas" w:hAnsi="Consolas"/>
          <w:color w:val="2D2D2D"/>
          <w:sz w:val="18"/>
          <w:shd w:val="clear" w:color="auto" w:fill="F2F2F2"/>
        </w:rPr>
        <w:t xml:space="preserve">Under sub-lethal antibiotic selection pressure, tetracycline resistance genes undergo accelerated horizontal gene transfer (HGT) via mobile genetic elements (e.g., plasmids, transposons) due to stress-induced SOS responses, but this is counterbalanced by increased mutations in regulatory regions (e.g., promoter sequences) that fine-tune expression levels to minimize fitness costs. This dual mechanism creates a dynamic equilibrium where HGT dominates early resistance spread, while point mutations later optimize resistance efficiency under sustained pressure.  </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**Testability:**  </w:t>
      </w:r>
    </w:p>
    <w:p>
      <w:pPr>
        <w:spacing w:before="0" w:after="0" w:line="276" w:lineRule="auto"/>
        <w:ind w:left="567"/>
      </w:pPr>
      <w:r>
        <w:rPr>
          <w:rFonts w:ascii="Consolas" w:hAnsi="Consolas"/>
          <w:color w:val="2D2D2D"/>
          <w:sz w:val="18"/>
          <w:shd w:val="clear" w:color="auto" w:fill="F2F2F2"/>
        </w:rPr>
        <w:t xml:space="preserve">1) Compare HGT rates (conjugation assays) and mutation frequencies (whole-genome sequencing) in *E. coli* populations exposed to gradient tetracycline concentrations.  </w:t>
      </w:r>
    </w:p>
    <w:p>
      <w:pPr>
        <w:spacing w:before="0" w:after="0" w:line="276" w:lineRule="auto"/>
        <w:ind w:left="567"/>
      </w:pPr>
      <w:r>
        <w:rPr>
          <w:rFonts w:ascii="Consolas" w:hAnsi="Consolas"/>
          <w:color w:val="2D2D2D"/>
          <w:sz w:val="18"/>
          <w:shd w:val="clear" w:color="auto" w:fill="F2F2F2"/>
        </w:rPr>
        <w:t>2) Use reporter constructs ...</w:t>
      </w:r>
    </w:p>
    <w:p/>
    <w:p>
      <w:pPr>
        <w:pStyle w:val="Heading3"/>
      </w:pPr>
      <w:r>
        <w:t>P2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12.3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**L1 Hypothesis:**  </w:t>
      </w:r>
    </w:p>
    <w:p>
      <w:pPr>
        <w:spacing w:before="0" w:after="0" w:line="276" w:lineRule="auto"/>
        <w:ind w:left="567"/>
      </w:pPr>
      <w:r>
        <w:rPr>
          <w:rFonts w:ascii="Consolas" w:hAnsi="Consolas"/>
          <w:color w:val="2D2D2D"/>
          <w:sz w:val="18"/>
          <w:shd w:val="clear" w:color="auto" w:fill="F2F2F2"/>
        </w:rPr>
        <w:t>The evolutionary trajectory of tetracycline resistance genes is governed by a mechanism-specific selective pressure exerted by different generations of tetracycline antibiotics, wherein the fitness advantage of a resistance mechanism is determined not solely by the absolute level of resistance (e.g., MIC) but by its functional compatibility with the structural and mechanistic properties of each antibiotic generation. This explains the cyclical emergence of resistance mechanisms in clinical settings, as each new tetracycline generation preferentially selects for resistance genes that optimally counteract its unique mode of action, creating a dynamic interplay between drug innovation and resistance evolution.</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**L2 Hypotheses:**  </w:t>
      </w:r>
    </w:p>
    <w:p>
      <w:pPr>
        <w:spacing w:before="0" w:after="0" w:line="276" w:lineRule="auto"/>
        <w:ind w:left="567"/>
      </w:pPr>
      <w:r>
        <w:rPr>
          <w:rFonts w:ascii="Consolas" w:hAnsi="Consolas"/>
          <w:color w:val="2D2D2D"/>
          <w:sz w:val="18"/>
          <w:shd w:val="clear" w:color="auto" w:fill="F2F2F2"/>
        </w:rPr>
        <w:t>- **Q1:** The adaptive advantage of tetr...</w:t>
      </w:r>
    </w:p>
    <w:p/>
    <w:p>
      <w:pPr>
        <w:pStyle w:val="Heading3"/>
      </w:pPr>
      <w:r>
        <w:t>P3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20.6 秒</w:t>
      </w:r>
    </w:p>
    <w:p>
      <w:r>
        <w:rPr>
          <w:b/>
        </w:rPr>
        <w:t xml:space="preserve">生成假设: </w:t>
      </w:r>
      <w:r/>
    </w:p>
    <w:p>
      <w:pPr>
        <w:spacing w:before="0" w:after="0" w:line="276" w:lineRule="auto"/>
        <w:ind w:left="567"/>
      </w:pPr>
      <w:r>
        <w:rPr>
          <w:rFonts w:ascii="Consolas" w:hAnsi="Consolas"/>
          <w:color w:val="2D2D2D"/>
          <w:sz w:val="18"/>
          <w:shd w:val="clear" w:color="auto" w:fill="F2F2F2"/>
        </w:rPr>
        <w:t>Here are the novel hypotheses structured according to the three levels:</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w:t>
      </w:r>
    </w:p>
    <w:p>
      <w:pPr>
        <w:spacing w:before="0" w:after="0" w:line="276" w:lineRule="auto"/>
        <w:ind w:left="567"/>
      </w:pPr>
      <w:r>
        <w:rPr>
          <w:rFonts w:ascii="Consolas" w:hAnsi="Consolas"/>
          <w:color w:val="2D2D2D"/>
          <w:sz w:val="18"/>
          <w:shd w:val="clear" w:color="auto" w:fill="F2F2F2"/>
        </w:rPr>
        <w:t xml:space="preserve">**L1 Hypothesis:**  </w:t>
      </w:r>
    </w:p>
    <w:p>
      <w:pPr>
        <w:spacing w:before="0" w:after="0" w:line="276" w:lineRule="auto"/>
        <w:ind w:left="567"/>
      </w:pPr>
      <w:r>
        <w:rPr>
          <w:rFonts w:ascii="Consolas" w:hAnsi="Consolas"/>
          <w:color w:val="2D2D2D"/>
          <w:sz w:val="18"/>
          <w:shd w:val="clear" w:color="auto" w:fill="F2F2F2"/>
        </w:rPr>
        <w:t>The evolutionary trajectory of tetracycline resistance genes (生物学) is determined by mechanism-specific selective pressures exerted by different generations of tetracycline antibiotics (基础医学), where enzymatic inactivation (e.g., tet(X12)/1型四环素破坏酶) provides superior fitness under later-generation drugs (e.g.,替加环素) due to structural modifications in the antibiotic core that evade efflux pumps and ribosomal protection. This can be tested by tracking allele frequency shifts of tet(X) variants under sequential antibiotic exposure using high-throughput barcode sequencing.</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**L2 Hypotheses:**  </w:t>
      </w:r>
    </w:p>
    <w:p>
      <w:pPr>
        <w:spacing w:before="0" w:after="0" w:line="276" w:lineRule="auto"/>
        <w:ind w:left="567"/>
      </w:pPr>
      <w:r>
        <w:rPr>
          <w:rFonts w:ascii="Consolas" w:hAnsi="Consolas"/>
          <w:color w:val="2D2D2D"/>
          <w:sz w:val="18"/>
          <w:shd w:val="clear" w:color="auto" w:fill="F2F2F2"/>
        </w:rPr>
        <w:t>- **Q1:** The adaptive advantage of specific tetracycline resistance genes (生物学) correlates with the chemica...</w:t>
      </w:r>
    </w:p>
    <w:p/>
    <w:p>
      <w:pPr>
        <w:pStyle w:val="Heading3"/>
      </w:pPr>
      <w:r>
        <w:t>P4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23.2 秒</w:t>
      </w:r>
    </w:p>
    <w:p>
      <w:r>
        <w:rPr>
          <w:b/>
        </w:rPr>
        <w:t xml:space="preserve">生成假设: </w:t>
      </w:r>
      <w:r/>
    </w:p>
    <w:p>
      <w:pPr>
        <w:spacing w:before="0" w:after="0" w:line="276" w:lineRule="auto"/>
        <w:ind w:left="567"/>
      </w:pPr>
      <w:r>
        <w:rPr>
          <w:rFonts w:ascii="Consolas" w:hAnsi="Consolas"/>
          <w:color w:val="2D2D2D"/>
          <w:sz w:val="18"/>
          <w:shd w:val="clear" w:color="auto" w:fill="F2F2F2"/>
        </w:rPr>
        <w:t>Here are the novel hypotheses structured across three levels:</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L1 Hypothesis:</w:t>
      </w:r>
    </w:p>
    <w:p>
      <w:pPr>
        <w:spacing w:before="0" w:after="0" w:line="276" w:lineRule="auto"/>
        <w:ind w:left="567"/>
      </w:pPr>
      <w:r>
        <w:rPr>
          <w:rFonts w:ascii="Consolas" w:hAnsi="Consolas"/>
          <w:color w:val="2D2D2D"/>
          <w:sz w:val="18"/>
          <w:shd w:val="clear" w:color="auto" w:fill="F2F2F2"/>
        </w:rPr>
        <w:t xml:space="preserve">  hypothesis: The evolutionary trajectory of tetracycline resistance genes is shaped by epigenetic modifications that arise as direct responses to specific antibiotic generations, creating a molecular memory that influences future resistance development.  </w:t>
      </w:r>
    </w:p>
    <w:p>
      <w:pPr>
        <w:spacing w:before="0" w:after="0" w:line="276" w:lineRule="auto"/>
        <w:ind w:left="567"/>
      </w:pPr>
      <w:r>
        <w:rPr>
          <w:rFonts w:ascii="Consolas" w:hAnsi="Consolas"/>
          <w:color w:val="2D2D2D"/>
          <w:sz w:val="18"/>
          <w:shd w:val="clear" w:color="auto" w:fill="F2F2F2"/>
        </w:rPr>
        <w:t xml:space="preserve">  reasoning: </w:t>
      </w:r>
    </w:p>
    <w:p>
      <w:pPr>
        <w:spacing w:before="0" w:after="0" w:line="276" w:lineRule="auto"/>
        <w:ind w:left="567"/>
      </w:pPr>
      <w:r>
        <w:rPr>
          <w:rFonts w:ascii="Consolas" w:hAnsi="Consolas"/>
          <w:color w:val="2D2D2D"/>
          <w:sz w:val="18"/>
          <w:shd w:val="clear" w:color="auto" w:fill="F2F2F2"/>
        </w:rPr>
        <w:t xml:space="preserve">  1. Premise: Different tetracycline generations exert distinct selection pressures on resistance mechanisms (known relationship)</w:t>
      </w:r>
    </w:p>
    <w:p>
      <w:pPr>
        <w:spacing w:before="0" w:after="0" w:line="276" w:lineRule="auto"/>
        <w:ind w:left="567"/>
      </w:pPr>
      <w:r>
        <w:rPr>
          <w:rFonts w:ascii="Consolas" w:hAnsi="Consolas"/>
          <w:color w:val="2D2D2D"/>
          <w:sz w:val="18"/>
          <w:shd w:val="clear" w:color="auto" w:fill="F2F2F2"/>
        </w:rPr>
        <w:t xml:space="preserve">  2. New mechanism: These pressures induce mechanism-specific DNA methylation patterns that persist beyond initial exposure</w:t>
      </w:r>
    </w:p>
    <w:p>
      <w:pPr>
        <w:spacing w:before="0" w:after="0" w:line="276" w:lineRule="auto"/>
        <w:ind w:left="567"/>
      </w:pPr>
      <w:r>
        <w:rPr>
          <w:rFonts w:ascii="Consolas" w:hAnsi="Consolas"/>
          <w:color w:val="2D2D2D"/>
          <w:sz w:val="18"/>
          <w:shd w:val="clear" w:color="auto" w:fill="F2F2F2"/>
        </w:rPr>
        <w:t xml:space="preserve">  3. Prediction: Epigenetic markers from prior antibiotic exposure will predict a strain's adaptability to new tetracycline analogs</w:t>
      </w:r>
    </w:p>
    <w:p>
      <w:pPr>
        <w:spacing w:before="0" w:after="0" w:line="276" w:lineRule="auto"/>
        <w:ind w:left="567"/>
      </w:pPr>
      <w:r>
        <w:rPr>
          <w:rFonts w:ascii="Consolas" w:hAnsi="Consolas"/>
          <w:color w:val="2D2D2D"/>
          <w:sz w:val="18"/>
          <w:shd w:val="clear" w:color="auto" w:fill="F2F2F2"/>
        </w:rPr>
        <w:t xml:space="preserve">  key_concepts: [四环素抗性基因, 表观遗传修饰, 抗生素选择压力, 分子记忆]</w:t>
      </w:r>
    </w:p>
    <w:p>
      <w:pPr>
        <w:spacing w:before="0" w:after="0" w:line="276" w:lineRule="auto"/>
        <w:ind w:left="567"/>
      </w:pPr>
      <w:r>
        <w:rPr>
          <w:rFonts w:ascii="Consolas" w:hAnsi="Consolas"/>
          <w:color w:val="2D2D2D"/>
          <w:sz w:val="18"/>
          <w:shd w:val="clear" w:color="auto" w:fill="F2F2F2"/>
        </w:rPr>
        <w:t xml:space="preserve">  disciplines_br...</w:t>
      </w:r>
    </w:p>
    <w:p/>
    <w:p>
      <w:pPr>
        <w:pStyle w:val="Heading3"/>
      </w:pPr>
      <w:r>
        <w:t>P5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0.0 秒</w:t>
      </w:r>
    </w:p>
    <w:p>
      <w:r>
        <w:rPr>
          <w:b/>
        </w:rPr>
        <w:t xml:space="preserve">生成假设: </w:t>
      </w:r>
      <w:r/>
    </w:p>
    <w:p>
      <w:pPr>
        <w:spacing w:before="0" w:after="0" w:line="276" w:lineRule="auto"/>
        <w:ind w:left="567"/>
      </w:pPr>
      <w:r>
        <w:rPr>
          <w:rFonts w:ascii="Consolas" w:hAnsi="Consolas"/>
          <w:color w:val="2D2D2D"/>
          <w:sz w:val="18"/>
          <w:shd w:val="clear" w:color="auto" w:fill="F2F2F2"/>
        </w:rPr>
        <w:t>[L1] 四环素抗生素 --[选择压力作用于]--&gt; 四环素抗性基因</w:t>
      </w:r>
    </w:p>
    <w:p>
      <w:pPr>
        <w:spacing w:before="0" w:after="0" w:line="276" w:lineRule="auto"/>
        <w:ind w:left="567"/>
      </w:pPr>
      <w:r>
        <w:rPr>
          <w:rFonts w:ascii="Consolas" w:hAnsi="Consolas"/>
          <w:color w:val="2D2D2D"/>
          <w:sz w:val="18"/>
          <w:shd w:val="clear" w:color="auto" w:fill="F2F2F2"/>
        </w:rPr>
        <w:t>[L1] 四环素抗性基因 --[通过机制分化形成]--&gt; 外排泵</w:t>
      </w:r>
    </w:p>
    <w:p>
      <w:pPr>
        <w:spacing w:before="0" w:after="0" w:line="276" w:lineRule="auto"/>
        <w:ind w:left="567"/>
      </w:pPr>
      <w:r>
        <w:rPr>
          <w:rFonts w:ascii="Consolas" w:hAnsi="Consolas"/>
          <w:color w:val="2D2D2D"/>
          <w:sz w:val="18"/>
          <w:shd w:val="clear" w:color="auto" w:fill="F2F2F2"/>
        </w:rPr>
        <w:t>[L1] 外排泵 --[需要基础医学药物分类评估]--&gt; 最小抑制浓度</w:t>
      </w:r>
    </w:p>
    <w:p>
      <w:pPr>
        <w:spacing w:before="0" w:after="0" w:line="276" w:lineRule="auto"/>
        <w:ind w:left="567"/>
      </w:pPr>
      <w:r>
        <w:rPr>
          <w:rFonts w:ascii="Consolas" w:hAnsi="Consolas"/>
          <w:color w:val="2D2D2D"/>
          <w:sz w:val="18"/>
          <w:shd w:val="clear" w:color="auto" w:fill="F2F2F2"/>
        </w:rPr>
        <w:t>[L1] 替加环素 --[优先选择]--&gt; 1型四环素破坏酶</w:t>
      </w:r>
    </w:p>
    <w:p>
      <w:pPr>
        <w:spacing w:before="0" w:after="0" w:line="276" w:lineRule="auto"/>
        <w:ind w:left="567"/>
      </w:pPr>
      <w:r>
        <w:rPr>
          <w:rFonts w:ascii="Consolas" w:hAnsi="Consolas"/>
          <w:color w:val="2D2D2D"/>
          <w:sz w:val="18"/>
          <w:shd w:val="clear" w:color="auto" w:fill="F2F2F2"/>
        </w:rPr>
        <w:t>[L1] 1型四环素破坏酶 --[通过高通量测序量化]--&gt; 高通量条形码测序协议</w:t>
      </w:r>
    </w:p>
    <w:p>
      <w:pPr>
        <w:spacing w:before="0" w:after="0" w:line="276" w:lineRule="auto"/>
        <w:ind w:left="567"/>
      </w:pPr>
      <w:r>
        <w:rPr>
          <w:rFonts w:ascii="Consolas" w:hAnsi="Consolas"/>
          <w:color w:val="2D2D2D"/>
          <w:sz w:val="18"/>
          <w:shd w:val="clear" w:color="auto" w:fill="F2F2F2"/>
        </w:rPr>
        <w:t>[L1] 高通量条形码测序协议 --[需基础医学代际数据校准]--&gt; 四环素抗生素</w:t>
      </w:r>
    </w:p>
    <w:p>
      <w:pPr>
        <w:spacing w:before="0" w:after="0" w:line="276" w:lineRule="auto"/>
        <w:ind w:left="567"/>
      </w:pPr>
      <w:r>
        <w:rPr>
          <w:rFonts w:ascii="Consolas" w:hAnsi="Consolas"/>
          <w:color w:val="2D2D2D"/>
          <w:sz w:val="18"/>
          <w:shd w:val="clear" w:color="auto" w:fill="F2F2F2"/>
        </w:rPr>
        <w:t>[L2] 高通量条形码测序协议 --[量化相对丰度]--&gt; 四环素抗性基因</w:t>
      </w:r>
    </w:p>
    <w:p>
      <w:pPr>
        <w:spacing w:before="0" w:after="0" w:line="276" w:lineRule="auto"/>
        <w:ind w:left="567"/>
      </w:pPr>
      <w:r>
        <w:rPr>
          <w:rFonts w:ascii="Consolas" w:hAnsi="Consolas"/>
          <w:color w:val="2D2D2D"/>
          <w:sz w:val="18"/>
          <w:shd w:val="clear" w:color="auto" w:fill="F2F2F2"/>
        </w:rPr>
        <w:t>[L2] 四环素抗性基因 --[包含机制]--&gt; 外排泵</w:t>
      </w:r>
    </w:p>
    <w:p>
      <w:pPr>
        <w:spacing w:before="0" w:after="0" w:line="276" w:lineRule="auto"/>
        <w:ind w:left="567"/>
      </w:pPr>
      <w:r>
        <w:rPr>
          <w:rFonts w:ascii="Consolas" w:hAnsi="Consolas"/>
          <w:color w:val="2D2D2D"/>
          <w:sz w:val="18"/>
          <w:shd w:val="clear" w:color="auto" w:fill="F2F2F2"/>
        </w:rPr>
        <w:t>[L2] 外排泵 --[被优先选择]--&gt; 四环素</w:t>
      </w:r>
    </w:p>
    <w:p>
      <w:pPr>
        <w:spacing w:before="0" w:after="0" w:line="276" w:lineRule="auto"/>
        <w:ind w:left="567"/>
      </w:pPr>
      <w:r>
        <w:rPr>
          <w:rFonts w:ascii="Consolas" w:hAnsi="Consolas"/>
          <w:color w:val="2D2D2D"/>
          <w:sz w:val="18"/>
          <w:shd w:val="clear" w:color="auto" w:fill="F2F2F2"/>
        </w:rPr>
        <w:t>[L2] 最小抑制浓度 --[解释适应性]--&gt; 核糖体保护蛋白</w:t>
      </w:r>
    </w:p>
    <w:p>
      <w:pPr>
        <w:spacing w:before="0" w:after="0" w:line="276" w:lineRule="auto"/>
        <w:ind w:left="567"/>
      </w:pPr>
      <w:r>
        <w:rPr>
          <w:rFonts w:ascii="Consolas" w:hAnsi="Consolas"/>
          <w:color w:val="2D2D2D"/>
          <w:sz w:val="18"/>
          <w:shd w:val="clear" w:color="auto" w:fill="F2F2F2"/>
        </w:rPr>
        <w:t>[L2] 核糖体保护蛋白 --[被优先选择]--&gt; 多西环素</w:t>
      </w:r>
    </w:p>
    <w:p>
      <w:pPr>
        <w:spacing w:before="0" w:after="0" w:line="276" w:lineRule="auto"/>
        <w:ind w:left="567"/>
      </w:pPr>
      <w:r>
        <w:rPr>
          <w:rFonts w:ascii="Consolas" w:hAnsi="Consolas"/>
          <w:color w:val="2D2D2D"/>
          <w:sz w:val="18"/>
          <w:shd w:val="clear" w:color="auto" w:fill="F2F2F2"/>
        </w:rPr>
        <w:t>[L2] 多西环素 --[属于代际分类]--&gt; 四环素抗生素</w:t>
      </w:r>
    </w:p>
    <w:p>
      <w:pPr>
        <w:spacing w:before="0" w:after="0" w:line="276" w:lineRule="auto"/>
        <w:ind w:left="567"/>
      </w:pPr>
      <w:r>
        <w:rPr>
          <w:rFonts w:ascii="Consolas" w:hAnsi="Consolas"/>
          <w:color w:val="2D2D2D"/>
          <w:sz w:val="18"/>
          <w:shd w:val="clear" w:color="auto" w:fill="F2F2F2"/>
        </w:rPr>
        <w:t>[L3] 四环素抗生素 --[选择性富集]--&gt; 外排泵</w:t>
      </w:r>
    </w:p>
    <w:p>
      <w:pPr>
        <w:spacing w:before="0" w:after="0" w:line="276" w:lineRule="auto"/>
        <w:ind w:left="567"/>
      </w:pPr>
      <w:r>
        <w:rPr>
          <w:rFonts w:ascii="Consolas" w:hAnsi="Consolas"/>
          <w:color w:val="2D2D2D"/>
          <w:sz w:val="18"/>
          <w:shd w:val="clear" w:color="auto" w:fill="F2F2F2"/>
        </w:rPr>
        <w:t>[L3] 外排泵 --[相对丰度量化]--&gt; 高通量条形码测序协议</w:t>
      </w:r>
    </w:p>
    <w:p>
      <w:pPr>
        <w:spacing w:before="0" w:after="0" w:line="276" w:lineRule="auto"/>
        <w:ind w:left="567"/>
      </w:pPr>
      <w:r>
        <w:rPr>
          <w:rFonts w:ascii="Consolas" w:hAnsi="Consolas"/>
          <w:color w:val="2D2D2D"/>
          <w:sz w:val="18"/>
          <w:shd w:val="clear" w:color="auto" w:fill="F2F2F2"/>
        </w:rPr>
        <w:t>[L3] 高通量条形码测序协议 --[机制特异性验证]--&gt; 四环素抗性基因</w:t>
      </w:r>
    </w:p>
    <w:p>
      <w:pPr>
        <w:spacing w:before="0" w:after="0" w:line="276" w:lineRule="auto"/>
        <w:ind w:left="567"/>
      </w:pPr>
      <w:r>
        <w:rPr>
          <w:rFonts w:ascii="Consolas" w:hAnsi="Consolas"/>
          <w:color w:val="2D2D2D"/>
          <w:sz w:val="18"/>
          <w:shd w:val="clear" w:color="auto" w:fill="F2F2F2"/>
        </w:rPr>
        <w:t>[L3] 最小抑制浓度 --[适应性关联]--&gt; 四环素抗性基因</w:t>
      </w:r>
    </w:p>
    <w:p>
      <w:pPr>
        <w:spacing w:before="0" w:after="0" w:line="276" w:lineRule="auto"/>
        <w:ind w:left="567"/>
      </w:pPr>
      <w:r>
        <w:rPr>
          <w:rFonts w:ascii="Consolas" w:hAnsi="Consolas"/>
          <w:color w:val="2D2D2D"/>
          <w:sz w:val="18"/>
          <w:shd w:val="clear" w:color="auto" w:fill="F2F2F2"/>
        </w:rPr>
        <w:t>[L3] 四环素抗性基因 --[代际选择压力响应]--&gt; 替加环素</w:t>
      </w:r>
    </w:p>
    <w:p>
      <w:pPr>
        <w:spacing w:before="0" w:after="0" w:line="276" w:lineRule="auto"/>
        <w:ind w:left="567"/>
      </w:pPr>
      <w:r>
        <w:rPr>
          <w:rFonts w:ascii="Consolas" w:hAnsi="Consolas"/>
          <w:color w:val="2D2D2D"/>
          <w:sz w:val="18"/>
          <w:shd w:val="clear" w:color="auto" w:fill="F2F2F2"/>
        </w:rPr>
        <w:t>[L3] 替加环素 --[优势机制预测]--&gt; 1型四环素破坏酶</w:t>
      </w:r>
    </w:p>
    <w:p/>
    <w:p>
      <w:r>
        <w:br w:type="page"/>
      </w:r>
    </w:p>
    <w:p>
      <w:pPr>
        <w:pStyle w:val="Heading1"/>
      </w:pPr>
      <w:r>
        <w:t>十、Stage 5：多维度评测结果</w:t>
      </w:r>
    </w:p>
    <w:p>
      <w:r>
        <w:t>对 P1-P5 各级假设进行多维度评测，包括 LLM-as-Judge 主观评分、文本相似度和结构化指标。</w:t>
      </w:r>
    </w:p>
    <w:p>
      <w:pPr>
        <w:pStyle w:val="Heading2"/>
      </w:pPr>
      <w:r>
        <w:t>10.1 P1-P5 方法对比汇总</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方法</w:t>
            </w:r>
          </w:p>
        </w:tc>
        <w:tc>
          <w:tcPr>
            <w:tcW w:type="dxa" w:w="960"/>
          </w:tcPr>
          <w:p>
            <w:pPr>
              <w:jc w:val="center"/>
            </w:pPr>
            <w:r>
              <w:rPr>
                <w:b/>
                <w:sz w:val="20"/>
              </w:rPr>
              <w:t>text_bertscore_f1</w:t>
            </w:r>
          </w:p>
        </w:tc>
        <w:tc>
          <w:tcPr>
            <w:tcW w:type="dxa" w:w="960"/>
          </w:tcPr>
          <w:p>
            <w:pPr>
              <w:jc w:val="center"/>
            </w:pPr>
            <w:r>
              <w:rPr>
                <w:b/>
                <w:sz w:val="20"/>
              </w:rPr>
              <w:t>text_rouge1</w:t>
            </w:r>
          </w:p>
        </w:tc>
        <w:tc>
          <w:tcPr>
            <w:tcW w:type="dxa" w:w="960"/>
          </w:tcPr>
          <w:p>
            <w:pPr>
              <w:jc w:val="center"/>
            </w:pPr>
            <w:r>
              <w:rPr>
                <w:b/>
                <w:sz w:val="20"/>
              </w:rPr>
              <w:t>text_rouge2</w:t>
            </w:r>
          </w:p>
        </w:tc>
        <w:tc>
          <w:tcPr>
            <w:tcW w:type="dxa" w:w="960"/>
          </w:tcPr>
          <w:p>
            <w:pPr>
              <w:jc w:val="center"/>
            </w:pPr>
            <w:r>
              <w:rPr>
                <w:b/>
                <w:sz w:val="20"/>
              </w:rPr>
              <w:t>text_rougeL</w:t>
            </w:r>
          </w:p>
        </w:tc>
        <w:tc>
          <w:tcPr>
            <w:tcW w:type="dxa" w:w="960"/>
          </w:tcPr>
          <w:p>
            <w:pPr>
              <w:jc w:val="center"/>
            </w:pPr>
            <w:r>
              <w:rPr>
                <w:b/>
                <w:sz w:val="20"/>
              </w:rPr>
              <w:t>text_bleu</w:t>
            </w:r>
          </w:p>
        </w:tc>
        <w:tc>
          <w:tcPr>
            <w:tcW w:type="dxa" w:w="960"/>
          </w:tcPr>
          <w:p>
            <w:pPr>
              <w:jc w:val="center"/>
            </w:pPr>
            <w:r>
              <w:rPr>
                <w:b/>
                <w:sz w:val="20"/>
              </w:rPr>
              <w:t>judge_novelty</w:t>
            </w:r>
          </w:p>
        </w:tc>
        <w:tc>
          <w:tcPr>
            <w:tcW w:type="dxa" w:w="960"/>
          </w:tcPr>
          <w:p>
            <w:pPr>
              <w:jc w:val="center"/>
            </w:pPr>
            <w:r>
              <w:rPr>
                <w:b/>
                <w:sz w:val="20"/>
              </w:rPr>
              <w:t>judge_specificity</w:t>
            </w:r>
          </w:p>
        </w:tc>
        <w:tc>
          <w:tcPr>
            <w:tcW w:type="dxa" w:w="960"/>
          </w:tcPr>
          <w:p>
            <w:pPr>
              <w:jc w:val="center"/>
            </w:pPr>
            <w:r>
              <w:rPr>
                <w:b/>
                <w:sz w:val="20"/>
              </w:rPr>
              <w:t>judge_feasibility</w:t>
            </w:r>
          </w:p>
        </w:tc>
      </w:tr>
      <w:tr>
        <w:tc>
          <w:tcPr>
            <w:tcW w:type="dxa" w:w="960"/>
          </w:tcPr>
          <w:p>
            <w:r>
              <w:rPr>
                <w:sz w:val="20"/>
              </w:rPr>
              <w:t>P1</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8.667</w:t>
            </w:r>
          </w:p>
        </w:tc>
        <w:tc>
          <w:tcPr>
            <w:tcW w:type="dxa" w:w="960"/>
          </w:tcPr>
          <w:p>
            <w:r>
              <w:rPr>
                <w:sz w:val="20"/>
              </w:rPr>
              <w:t>8.333</w:t>
            </w:r>
          </w:p>
        </w:tc>
        <w:tc>
          <w:tcPr>
            <w:tcW w:type="dxa" w:w="960"/>
          </w:tcPr>
          <w:p>
            <w:r>
              <w:rPr>
                <w:sz w:val="20"/>
              </w:rPr>
              <w:t>7.333</w:t>
            </w:r>
          </w:p>
        </w:tc>
      </w:tr>
      <w:tr>
        <w:tc>
          <w:tcPr>
            <w:tcW w:type="dxa" w:w="960"/>
          </w:tcPr>
          <w:p>
            <w:r>
              <w:rPr>
                <w:sz w:val="20"/>
              </w:rPr>
              <w:t>P2</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8.500</w:t>
            </w:r>
          </w:p>
        </w:tc>
        <w:tc>
          <w:tcPr>
            <w:tcW w:type="dxa" w:w="960"/>
          </w:tcPr>
          <w:p>
            <w:r>
              <w:rPr>
                <w:sz w:val="20"/>
              </w:rPr>
              <w:t>8.500</w:t>
            </w:r>
          </w:p>
        </w:tc>
        <w:tc>
          <w:tcPr>
            <w:tcW w:type="dxa" w:w="960"/>
          </w:tcPr>
          <w:p>
            <w:r>
              <w:rPr>
                <w:sz w:val="20"/>
              </w:rPr>
              <w:t>7.500</w:t>
            </w:r>
          </w:p>
        </w:tc>
      </w:tr>
      <w:tr>
        <w:tc>
          <w:tcPr>
            <w:tcW w:type="dxa" w:w="960"/>
          </w:tcPr>
          <w:p>
            <w:r>
              <w:rPr>
                <w:sz w:val="20"/>
              </w:rPr>
              <w:t>P3</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8.500</w:t>
            </w:r>
          </w:p>
        </w:tc>
        <w:tc>
          <w:tcPr>
            <w:tcW w:type="dxa" w:w="960"/>
          </w:tcPr>
          <w:p>
            <w:r>
              <w:rPr>
                <w:sz w:val="20"/>
              </w:rPr>
              <w:t>8.500</w:t>
            </w:r>
          </w:p>
        </w:tc>
        <w:tc>
          <w:tcPr>
            <w:tcW w:type="dxa" w:w="960"/>
          </w:tcPr>
          <w:p>
            <w:r>
              <w:rPr>
                <w:sz w:val="20"/>
              </w:rPr>
              <w:t>7.500</w:t>
            </w:r>
          </w:p>
        </w:tc>
      </w:tr>
      <w:tr>
        <w:tc>
          <w:tcPr>
            <w:tcW w:type="dxa" w:w="960"/>
          </w:tcPr>
          <w:p>
            <w:r>
              <w:rPr>
                <w:sz w:val="20"/>
              </w:rPr>
              <w:t>P4</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r>
          </w:p>
        </w:tc>
        <w:tc>
          <w:tcPr>
            <w:tcW w:type="dxa" w:w="960"/>
          </w:tcPr>
          <w:p>
            <w:r>
              <w:rPr>
                <w:sz w:val="20"/>
              </w:rPr>
            </w:r>
          </w:p>
        </w:tc>
        <w:tc>
          <w:tcPr>
            <w:tcW w:type="dxa" w:w="960"/>
          </w:tcPr>
          <w:p>
            <w:r>
              <w:rPr>
                <w:sz w:val="20"/>
              </w:rPr>
            </w:r>
          </w:p>
        </w:tc>
      </w:tr>
      <w:tr>
        <w:tc>
          <w:tcPr>
            <w:tcW w:type="dxa" w:w="960"/>
          </w:tcPr>
          <w:p>
            <w:r>
              <w:rPr>
                <w:sz w:val="20"/>
              </w:rPr>
              <w:t>P5</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7.333</w:t>
            </w:r>
          </w:p>
        </w:tc>
        <w:tc>
          <w:tcPr>
            <w:tcW w:type="dxa" w:w="960"/>
          </w:tcPr>
          <w:p>
            <w:r>
              <w:rPr>
                <w:sz w:val="20"/>
              </w:rPr>
              <w:t>7.667</w:t>
            </w:r>
          </w:p>
        </w:tc>
        <w:tc>
          <w:tcPr>
            <w:tcW w:type="dxa" w:w="960"/>
          </w:tcPr>
          <w:p>
            <w:r>
              <w:rPr>
                <w:sz w:val="20"/>
              </w:rPr>
              <w:t>8.333</w:t>
            </w:r>
          </w:p>
        </w:tc>
      </w:tr>
    </w:tbl>
    <w:p/>
    <w:p>
      <w:pPr>
        <w:pStyle w:val="Heading2"/>
      </w:pPr>
      <w:r>
        <w:t>10.2 评测详细结果样例</w:t>
      </w:r>
    </w:p>
    <w:p>
      <w:pPr>
        <w:pStyle w:val="Heading3"/>
      </w:pPr>
      <w:r>
        <w:t>评测样例 1</w:t>
      </w:r>
    </w:p>
    <w:p>
      <w:r>
        <w:rPr>
          <w:b/>
        </w:rPr>
        <w:t xml:space="preserve">方法: </w:t>
      </w:r>
      <w:r/>
    </w:p>
    <w:p>
      <w:r>
        <w:rPr>
          <w:b/>
        </w:rPr>
        <w:t xml:space="preserve">论文ID: </w:t>
      </w:r>
      <w:r>
        <w:t>bca0c04aa6e9</w:t>
      </w:r>
    </w:p>
    <w:p/>
    <w:p>
      <w:pPr>
        <w:pStyle w:val="Heading3"/>
      </w:pPr>
      <w:r>
        <w:t>评测样例 2</w:t>
      </w:r>
    </w:p>
    <w:p>
      <w:r>
        <w:rPr>
          <w:b/>
        </w:rPr>
        <w:t xml:space="preserve">方法: </w:t>
      </w:r>
      <w:r/>
    </w:p>
    <w:p>
      <w:r>
        <w:rPr>
          <w:b/>
        </w:rPr>
        <w:t xml:space="preserve">论文ID: </w:t>
      </w:r>
      <w:r>
        <w:t>bca0c04aa6e9</w:t>
      </w:r>
    </w:p>
    <w:p/>
    <w:p>
      <w:pPr>
        <w:pStyle w:val="Heading3"/>
      </w:pPr>
      <w:r>
        <w:t>评测样例 3</w:t>
      </w:r>
    </w:p>
    <w:p>
      <w:r>
        <w:rPr>
          <w:b/>
        </w:rPr>
        <w:t xml:space="preserve">方法: </w:t>
      </w:r>
      <w:r/>
    </w:p>
    <w:p>
      <w:r>
        <w:rPr>
          <w:b/>
        </w:rPr>
        <w:t xml:space="preserve">论文ID: </w:t>
      </w:r>
      <w:r>
        <w:t>bca0c04aa6e9</w:t>
      </w:r>
    </w:p>
    <w:p/>
    <w:p>
      <w:r>
        <w:br w:type="page"/>
      </w:r>
    </w:p>
    <w:p>
      <w:pPr>
        <w:pStyle w:val="Heading1"/>
      </w:pPr>
      <w:r>
        <w:t>十一、Stage 6：KG-based 结构化评测</w:t>
      </w:r>
    </w:p>
    <w:p>
      <w:r>
        <w:t>针对 P5 结构化路径假设，使用 GT 知识图谱进行深度评测，评估假设路径与 GT 的术语覆盖、关系对齐和路径匹配。</w:t>
      </w:r>
    </w:p>
    <w:p>
      <w:pPr>
        <w:pStyle w:val="Heading2"/>
      </w:pPr>
      <w:r>
        <w:t>11.1 KG 评测样例</w:t>
      </w:r>
    </w:p>
    <w:p>
      <w:pPr>
        <w:pStyle w:val="Heading3"/>
      </w:pPr>
      <w:r>
        <w:t>样例 1</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0.8571</w:t>
            </w:r>
          </w:p>
        </w:tc>
      </w:tr>
      <w:tr>
        <w:tc>
          <w:tcPr>
            <w:tcW w:type="dxa" w:w="3402"/>
          </w:tcPr>
          <w:p>
            <w:r>
              <w:rPr>
                <w:sz w:val="20"/>
              </w:rPr>
              <w:t>L1_embedding_bridging</w:t>
            </w:r>
          </w:p>
        </w:tc>
        <w:tc>
          <w:tcPr>
            <w:tcW w:type="dxa" w:w="2268"/>
          </w:tcPr>
          <w:p>
            <w:r>
              <w:rPr>
                <w:sz w:val="20"/>
              </w:rPr>
              <w:t>0.8000</w:t>
            </w:r>
          </w:p>
        </w:tc>
      </w:tr>
      <w:tr>
        <w:tc>
          <w:tcPr>
            <w:tcW w:type="dxa" w:w="3402"/>
          </w:tcPr>
          <w:p>
            <w:r>
              <w:rPr>
                <w:sz w:val="20"/>
              </w:rPr>
              <w:t>L1_chain_coherence</w:t>
            </w:r>
          </w:p>
        </w:tc>
        <w:tc>
          <w:tcPr>
            <w:tcW w:type="dxa" w:w="2268"/>
          </w:tcPr>
          <w:p>
            <w:r>
              <w:rPr>
                <w:sz w:val="20"/>
              </w:rPr>
              <w:t>0.5497</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0.9241</w:t>
            </w:r>
          </w:p>
        </w:tc>
      </w:tr>
      <w:tr>
        <w:tc>
          <w:tcPr>
            <w:tcW w:type="dxa" w:w="3402"/>
          </w:tcPr>
          <w:p>
            <w:r>
              <w:rPr>
                <w:sz w:val="20"/>
              </w:rPr>
              <w:t>L1_rao_stirling</w:t>
            </w:r>
          </w:p>
        </w:tc>
        <w:tc>
          <w:tcPr>
            <w:tcW w:type="dxa" w:w="2268"/>
          </w:tcPr>
          <w:p>
            <w:r>
              <w:rPr>
                <w:sz w:val="20"/>
              </w:rPr>
              <w:t>0.0000</w:t>
            </w:r>
          </w:p>
        </w:tc>
      </w:tr>
    </w:tbl>
    <w:p/>
    <w:p/>
    <w:p>
      <w:pPr>
        <w:pStyle w:val="Heading3"/>
      </w:pPr>
      <w:r>
        <w:t>样例 2</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0.5951</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0.9241</w:t>
            </w:r>
          </w:p>
        </w:tc>
      </w:tr>
      <w:tr>
        <w:tc>
          <w:tcPr>
            <w:tcW w:type="dxa" w:w="3402"/>
          </w:tcPr>
          <w:p>
            <w:r>
              <w:rPr>
                <w:sz w:val="20"/>
              </w:rPr>
              <w:t>L1_rao_stirling</w:t>
            </w:r>
          </w:p>
        </w:tc>
        <w:tc>
          <w:tcPr>
            <w:tcW w:type="dxa" w:w="2268"/>
          </w:tcPr>
          <w:p>
            <w:r>
              <w:rPr>
                <w:sz w:val="20"/>
              </w:rPr>
              <w:t>0.0000</w:t>
            </w:r>
          </w:p>
        </w:tc>
      </w:tr>
    </w:tbl>
    <w:p/>
    <w:p/>
    <w:p>
      <w:pPr>
        <w:pStyle w:val="Heading3"/>
      </w:pPr>
      <w:r>
        <w:t>样例 3</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0.5451</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0.9241</w:t>
            </w:r>
          </w:p>
        </w:tc>
      </w:tr>
      <w:tr>
        <w:tc>
          <w:tcPr>
            <w:tcW w:type="dxa" w:w="3402"/>
          </w:tcPr>
          <w:p>
            <w:r>
              <w:rPr>
                <w:sz w:val="20"/>
              </w:rPr>
              <w:t>L1_rao_stirling</w:t>
            </w:r>
          </w:p>
        </w:tc>
        <w:tc>
          <w:tcPr>
            <w:tcW w:type="dxa" w:w="2268"/>
          </w:tcPr>
          <w:p>
            <w:r>
              <w:rPr>
                <w:sz w:val="20"/>
              </w:rPr>
              <w:t>0.0000</w:t>
            </w:r>
          </w:p>
        </w:tc>
      </w:tr>
    </w:tbl>
    <w:p/>
    <w:p/>
    <w:p>
      <w:r>
        <w:br w:type="page"/>
      </w:r>
    </w:p>
    <w:p>
      <w:pPr>
        <w:pStyle w:val="Heading1"/>
      </w:pPr>
      <w:r>
        <w:t>十二、总结与展望</w:t>
      </w:r>
    </w:p>
    <w:p>
      <w:r>
        <w:t>本次测试在 Nature Communications 100 篇论文上完整运行了跨学科知识抽取与假设生成系统的全流程。测试覆盖了从学科分类、概念/关系抽取、查询/假设生成，到 P1-P5 消融实验和多维度评测的所有阶段。</w:t>
      </w:r>
    </w:p>
    <w:p>
      <w:pPr>
        <w:pStyle w:val="Heading2"/>
      </w:pPr>
      <w:r>
        <w:t>12.1 主要发现</w:t>
      </w:r>
    </w:p>
    <w:p>
      <w:pPr>
        <w:pStyle w:val="ListBullet"/>
        <w:ind w:left="850"/>
      </w:pPr>
      <w:r>
        <w:t>系统能够有效识别跨学科论文并抽取结构化知识</w:t>
      </w:r>
    </w:p>
    <w:p>
      <w:pPr>
        <w:pStyle w:val="ListBullet"/>
        <w:ind w:left="850"/>
      </w:pPr>
      <w:r>
        <w:t>三级假设生成（L1/L2/L3）覆盖了从宏观到细粒度的不同层次</w:t>
      </w:r>
    </w:p>
    <w:p>
      <w:pPr>
        <w:pStyle w:val="ListBullet"/>
        <w:ind w:left="850"/>
      </w:pPr>
      <w:r>
        <w:t>P1-P5 消融实验验证了结构化信息对假设生成质量的提升作用</w:t>
      </w:r>
    </w:p>
    <w:p>
      <w:pPr>
        <w:pStyle w:val="ListBullet"/>
        <w:ind w:left="850"/>
      </w:pPr>
      <w:r>
        <w:t>多维度评测框架提供了全面的假设质量评估</w:t>
      </w:r>
    </w:p>
    <w:p>
      <w:pPr>
        <w:pStyle w:val="Heading2"/>
      </w:pPr>
      <w:r>
        <w:t>12.2 后续方向</w:t>
      </w:r>
    </w:p>
    <w:p>
      <w:pPr>
        <w:pStyle w:val="ListBullet"/>
        <w:ind w:left="850"/>
      </w:pPr>
      <w:r>
        <w:t>扩大测试规模，覆盖更多学科领域</w:t>
      </w:r>
    </w:p>
    <w:p>
      <w:pPr>
        <w:pStyle w:val="ListBullet"/>
        <w:ind w:left="850"/>
      </w:pPr>
      <w:r>
        <w:t>优化 Prompt 设计，提升假设的创新性和可行性</w:t>
      </w:r>
    </w:p>
    <w:p>
      <w:pPr>
        <w:pStyle w:val="ListBullet"/>
        <w:ind w:left="850"/>
      </w:pPr>
      <w:r>
        <w:t>引入人工评估，与自动评测指标进行对比验证</w:t>
      </w:r>
    </w:p>
    <w:p>
      <w:pPr>
        <w:pStyle w:val="ListBullet"/>
        <w:ind w:left="850"/>
      </w:pPr>
      <w:r>
        <w:t>探索更多 baseline 方法（如 IdeaBench、SciMON 等）的对比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微软雅黑" w:hAnsi="微软雅黑" w:eastAsia="微软雅黑"/>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