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6DB"/>
          <w:sz w:val="56"/>
        </w:rPr>
        <w:t>跨学科知识抽取与假设生成系统</w:t>
      </w:r>
    </w:p>
    <w:p>
      <w:pPr>
        <w:jc w:val="center"/>
      </w:pPr>
      <w:r>
        <w:rPr>
          <w:color w:val="666666"/>
          <w:sz w:val="32"/>
        </w:rPr>
        <w:t>Nature Communications 100篇全流程测试报告</w:t>
      </w:r>
    </w:p>
    <w:p/>
    <w:p>
      <w:pPr>
        <w:jc w:val="center"/>
      </w:pPr>
      <w:r>
        <w:rPr>
          <w:color w:val="999999"/>
          <w:sz w:val="24"/>
        </w:rPr>
        <w:t>生成日期: 2026-03-16</w:t>
      </w:r>
    </w:p>
    <w:p>
      <w:r>
        <w:br w:type="page"/>
      </w:r>
    </w:p>
    <w:p>
      <w:pPr>
        <w:pStyle w:val="Heading1"/>
      </w:pPr>
      <w:r>
        <w:t>目录</w:t>
      </w:r>
    </w:p>
    <w:p>
      <w:pPr>
        <w:pStyle w:val="ListBullet"/>
        <w:ind w:left="850"/>
      </w:pPr>
      <w:r>
        <w:t>一、项目概述与流程总览</w:t>
      </w:r>
    </w:p>
    <w:p>
      <w:pPr>
        <w:pStyle w:val="ListBullet"/>
        <w:ind w:left="850"/>
      </w:pPr>
      <w:r>
        <w:t>二、Stage 1：学科分类与跨学科筛选</w:t>
      </w:r>
    </w:p>
    <w:p>
      <w:pPr>
        <w:pStyle w:val="ListBullet"/>
        <w:ind w:left="850"/>
      </w:pPr>
      <w:r>
        <w:t>三、Stage 2a：概念抽取</w:t>
      </w:r>
    </w:p>
    <w:p>
      <w:pPr>
        <w:pStyle w:val="ListBullet"/>
        <w:ind w:left="850"/>
      </w:pPr>
      <w:r>
        <w:t>四、Stage 2b：跨学科关系抽取</w:t>
      </w:r>
    </w:p>
    <w:p>
      <w:pPr>
        <w:pStyle w:val="ListBullet"/>
        <w:ind w:left="850"/>
      </w:pPr>
      <w:r>
        <w:t>五、Stage 2c：三级查询生成</w:t>
      </w:r>
    </w:p>
    <w:p>
      <w:pPr>
        <w:pStyle w:val="ListBullet"/>
        <w:ind w:left="850"/>
      </w:pPr>
      <w:r>
        <w:t>六、Stage 2d：三级假设生成</w:t>
      </w:r>
    </w:p>
    <w:p>
      <w:pPr>
        <w:pStyle w:val="ListBullet"/>
        <w:ind w:left="850"/>
      </w:pPr>
      <w:r>
        <w:t>七、Stage 2e：知识图谱构建与指标</w:t>
      </w:r>
    </w:p>
    <w:p>
      <w:pPr>
        <w:pStyle w:val="ListBullet"/>
        <w:ind w:left="850"/>
      </w:pPr>
      <w:r>
        <w:t>八、Stage 3：Benchmark GT 数据集构建</w:t>
      </w:r>
    </w:p>
    <w:p>
      <w:pPr>
        <w:pStyle w:val="ListBullet"/>
        <w:ind w:left="850"/>
      </w:pPr>
      <w:r>
        <w:t>九、Stage 4：P1-P5 五级 Prompt 消融实验</w:t>
      </w:r>
    </w:p>
    <w:p>
      <w:pPr>
        <w:pStyle w:val="ListBullet"/>
        <w:ind w:left="850"/>
      </w:pPr>
      <w:r>
        <w:t>十、Stage 5：多维度评测结果</w:t>
      </w:r>
    </w:p>
    <w:p>
      <w:pPr>
        <w:pStyle w:val="ListBullet"/>
        <w:ind w:left="850"/>
      </w:pPr>
      <w:r>
        <w:t>十一、Stage 6：KG-based 结构化评测</w:t>
      </w:r>
    </w:p>
    <w:p>
      <w:pPr>
        <w:pStyle w:val="ListBullet"/>
        <w:ind w:left="850"/>
      </w:pPr>
      <w:r>
        <w:t>十二、总结与展望</w:t>
      </w:r>
    </w:p>
    <w:p>
      <w:r>
        <w:br w:type="page"/>
      </w:r>
    </w:p>
    <w:p>
      <w:pPr>
        <w:pStyle w:val="Heading1"/>
      </w:pPr>
      <w:r>
        <w:t>一、项目概述与流程总览</w:t>
      </w:r>
    </w:p>
    <w:p>
      <w:r>
        <w:t>本报告展示了跨学科知识抽取与假设生成系统在 Nature Communications 100 篇论文上的全流程测试结果。系统从学术论文中自动抽取跨学科概念、关系，生成结构化科学假设，并通过多维度指标进行评估。</w:t>
      </w:r>
    </w:p>
    <w:p>
      <w:pPr>
        <w:pStyle w:val="Heading2"/>
      </w:pPr>
      <w:r>
        <w:t>1.1 测试数据</w:t>
      </w:r>
    </w:p>
    <w:p>
      <w:pPr>
        <w:pStyle w:val="ListBullet"/>
        <w:ind w:left="850"/>
      </w:pPr>
      <w:r>
        <w:t>数据来源: OpenAlex 2025 年 Nature Communications 论文</w:t>
      </w:r>
    </w:p>
    <w:p>
      <w:pPr>
        <w:pStyle w:val="ListBullet"/>
        <w:ind w:left="850"/>
      </w:pPr>
      <w:r>
        <w:t>筛选条件: Nature 系列期刊 + 有摘要 + 英文</w:t>
      </w:r>
    </w:p>
    <w:p>
      <w:pPr>
        <w:pStyle w:val="ListBullet"/>
        <w:ind w:left="850"/>
      </w:pPr>
      <w:r>
        <w:t>测试规模: 100 篇论文</w:t>
      </w:r>
    </w:p>
    <w:p>
      <w:pPr>
        <w:pStyle w:val="Heading2"/>
      </w:pPr>
      <w:r>
        <w:t>1.2 端到端流程</w:t>
      </w:r>
    </w:p>
    <w:p>
      <w:pPr>
        <w:spacing w:before="0" w:after="0" w:line="276" w:lineRule="auto"/>
        <w:ind w:left="567"/>
      </w:pPr>
      <w:r>
        <w:rPr>
          <w:rFonts w:ascii="Consolas" w:hAnsi="Consolas"/>
          <w:color w:val="2D2D2D"/>
          <w:sz w:val="18"/>
          <w:shd w:val="clear" w:color="auto" w:fill="F2F2F2"/>
        </w:rPr>
        <w:t>输入 (100篇论文 JSONL)</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1: 学科分类 + 跨学科筛选 (~300次 LLM 调用)</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2: 三阶段知识抽取 (概念→关系→查询→假设, ~7次/篇)</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3: 构建 Benchmark GT 数据集</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4: P1-P5 五级 Prompt 假设生成 (消融实验)</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5: 多维度评测 (LLM-as-Judge + 文本相似度 + 结构化指标)</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6: KG-based 结构化评测</w:t>
      </w:r>
    </w:p>
    <w:p>
      <w:r>
        <w:br w:type="page"/>
      </w:r>
    </w:p>
    <w:p>
      <w:pPr>
        <w:pStyle w:val="Heading1"/>
      </w:pPr>
      <w:r>
        <w:t>二、Stage 1：学科分类与跨学科筛选</w:t>
      </w:r>
    </w:p>
    <w:p>
      <w:r>
        <w:t>对 100 篇论文进行层级学科分类，识别主学科与辅学科，筛选出跨学科论文。分类基于 MSC 层级分类体系，每篇论文约需 3 次 LLM 调用。</w:t>
      </w:r>
    </w:p>
    <w:p>
      <w:pPr>
        <w:pStyle w:val="Heading2"/>
      </w:pPr>
      <w:r>
        <w:t>2.1 分类结果样例（3篇）</w:t>
      </w:r>
    </w:p>
    <w:p>
      <w:pPr>
        <w:pStyle w:val="Heading3"/>
      </w:pPr>
      <w:r>
        <w:t>样例 1</w:t>
      </w:r>
    </w:p>
    <w:p>
      <w:r>
        <w:rPr>
          <w:b/>
        </w:rPr>
        <w:t xml:space="preserve">标题: </w:t>
      </w:r>
      <w:r>
        <w:t>Nano-island-encapsulated cobalt single-atom catalysts for breaking activity-stability trade-off in Fenton-like reactions</w:t>
      </w:r>
    </w:p>
    <w:p>
      <w:r>
        <w:rPr>
          <w:b/>
        </w:rPr>
        <w:t xml:space="preserve">主学科: </w:t>
      </w:r>
      <w:r>
        <w:t>化学</w:t>
      </w:r>
    </w:p>
    <w:p>
      <w:r>
        <w:rPr>
          <w:b/>
        </w:rPr>
        <w:t xml:space="preserve">辅学科: </w:t>
      </w:r>
      <w:r>
        <w:t>材料科学, 环境科学技术</w:t>
      </w:r>
    </w:p>
    <w:p>
      <w:r>
        <w:rPr>
          <w:b/>
        </w:rPr>
        <w:t xml:space="preserve">是否跨学科: </w:t>
      </w:r>
      <w:r>
        <w:t>是</w:t>
      </w:r>
    </w:p>
    <w:p/>
    <w:p>
      <w:pPr>
        <w:pStyle w:val="Heading3"/>
      </w:pPr>
      <w:r>
        <w:t>样例 2</w:t>
      </w:r>
    </w:p>
    <w:p>
      <w:r>
        <w:rPr>
          <w:b/>
        </w:rPr>
        <w:t xml:space="preserve">标题: </w:t>
      </w:r>
      <w:r>
        <w:t>High-entropy alloy enables multi-path electron synergism and lattice oxygen activation for enhanced oxygen evolution act...</w:t>
      </w:r>
    </w:p>
    <w:p>
      <w:r>
        <w:rPr>
          <w:b/>
        </w:rPr>
        <w:t xml:space="preserve">主学科: </w:t>
      </w:r>
      <w:r>
        <w:t>化学</w:t>
      </w:r>
    </w:p>
    <w:p>
      <w:r>
        <w:rPr>
          <w:b/>
        </w:rPr>
        <w:t xml:space="preserve">辅学科: </w:t>
      </w:r>
      <w:r>
        <w:t>材料科学</w:t>
      </w:r>
    </w:p>
    <w:p>
      <w:r>
        <w:rPr>
          <w:b/>
        </w:rPr>
        <w:t xml:space="preserve">是否跨学科: </w:t>
      </w:r>
      <w:r>
        <w:t>是</w:t>
      </w:r>
    </w:p>
    <w:p/>
    <w:p>
      <w:pPr>
        <w:pStyle w:val="Heading3"/>
      </w:pPr>
      <w:r>
        <w:t>样例 3</w:t>
      </w:r>
    </w:p>
    <w:p>
      <w:r>
        <w:rPr>
          <w:b/>
        </w:rPr>
        <w:t xml:space="preserve">标题: </w:t>
      </w:r>
      <w:r>
        <w:t>MXene-Assisted NiFe sulfides for high-performance anion exchange membrane seawater electrolysis</w:t>
      </w:r>
    </w:p>
    <w:p>
      <w:r>
        <w:rPr>
          <w:b/>
        </w:rPr>
        <w:t xml:space="preserve">主学科: </w:t>
      </w:r>
      <w:r>
        <w:t>化学</w:t>
      </w:r>
    </w:p>
    <w:p>
      <w:r>
        <w:rPr>
          <w:b/>
        </w:rPr>
        <w:t xml:space="preserve">辅学科: </w:t>
      </w:r>
      <w:r>
        <w:t>材料科学</w:t>
      </w:r>
    </w:p>
    <w:p>
      <w:r>
        <w:rPr>
          <w:b/>
        </w:rPr>
        <w:t xml:space="preserve">是否跨学科: </w:t>
      </w:r>
      <w:r>
        <w:t>是</w:t>
      </w:r>
    </w:p>
    <w:p/>
    <w:p>
      <w:r>
        <w:br w:type="page"/>
      </w:r>
    </w:p>
    <w:p>
      <w:pPr>
        <w:pStyle w:val="Heading1"/>
      </w:pPr>
      <w:r>
        <w:t>三、Stage 2a：概念抽取</w:t>
      </w:r>
    </w:p>
    <w:p>
      <w:r>
        <w:t>从论文标题和摘要中抽取专业术语，按主学科和辅学科分组。每个术语包含标准化形式、原文证据和置信度。</w:t>
      </w:r>
    </w:p>
    <w:p>
      <w:pPr>
        <w:pStyle w:val="Heading2"/>
      </w:pPr>
      <w:r>
        <w:t>3.1 概念抽取样例（3篇）</w:t>
      </w:r>
    </w:p>
    <w:p>
      <w:pPr>
        <w:pStyle w:val="Heading3"/>
      </w:pPr>
      <w:r>
        <w:t>样例 1: Nano-island-encapsulated cobalt single-atom catalysts for breaking activity-stab...</w:t>
      </w:r>
    </w:p>
    <w:p>
      <w:r>
        <w:rPr>
          <w:b/>
        </w:rPr>
        <w:t xml:space="preserve">主学科: </w:t>
      </w:r>
      <w:r>
        <w:t>化学</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Fenton-like catalysis</w:t>
            </w:r>
          </w:p>
        </w:tc>
        <w:tc>
          <w:tcPr>
            <w:tcW w:type="dxa" w:w="1984"/>
          </w:tcPr>
          <w:p>
            <w:r>
              <w:rPr>
                <w:sz w:val="20"/>
              </w:rPr>
              <w:t>类芬顿催化</w:t>
            </w:r>
          </w:p>
        </w:tc>
        <w:tc>
          <w:tcPr>
            <w:tcW w:type="dxa" w:w="3402"/>
          </w:tcPr>
          <w:p>
            <w:r>
              <w:rPr>
                <w:sz w:val="20"/>
              </w:rPr>
              <w:t>performance in sustainable Fenton-like catalysis</w:t>
            </w:r>
          </w:p>
        </w:tc>
        <w:tc>
          <w:tcPr>
            <w:tcW w:type="dxa" w:w="850"/>
          </w:tcPr>
          <w:p>
            <w:r>
              <w:rPr>
                <w:sz w:val="20"/>
              </w:rPr>
              <w:t>0.95</w:t>
            </w:r>
          </w:p>
        </w:tc>
      </w:tr>
      <w:tr>
        <w:tc>
          <w:tcPr>
            <w:tcW w:type="dxa" w:w="1701"/>
          </w:tcPr>
          <w:p>
            <w:r>
              <w:rPr>
                <w:sz w:val="20"/>
              </w:rPr>
              <w:t>peroxymonosulfate (PMS)</w:t>
            </w:r>
          </w:p>
        </w:tc>
        <w:tc>
          <w:tcPr>
            <w:tcW w:type="dxa" w:w="1984"/>
          </w:tcPr>
          <w:p>
            <w:r>
              <w:rPr>
                <w:sz w:val="20"/>
              </w:rPr>
              <w:t>过一硫酸盐</w:t>
            </w:r>
          </w:p>
        </w:tc>
        <w:tc>
          <w:tcPr>
            <w:tcW w:type="dxa" w:w="3402"/>
          </w:tcPr>
          <w:p>
            <w:r>
              <w:rPr>
                <w:sz w:val="20"/>
              </w:rPr>
              <w:t>PMS-based systems</w:t>
            </w:r>
          </w:p>
        </w:tc>
        <w:tc>
          <w:tcPr>
            <w:tcW w:type="dxa" w:w="850"/>
          </w:tcPr>
          <w:p>
            <w:r>
              <w:rPr>
                <w:sz w:val="20"/>
              </w:rPr>
              <w:t>0.98</w:t>
            </w:r>
          </w:p>
        </w:tc>
      </w:tr>
      <w:tr>
        <w:tc>
          <w:tcPr>
            <w:tcW w:type="dxa" w:w="1701"/>
          </w:tcPr>
          <w:p>
            <w:r>
              <w:rPr>
                <w:sz w:val="20"/>
              </w:rPr>
              <w:t>sulfate radicals (SO₄•⁻)</w:t>
            </w:r>
          </w:p>
        </w:tc>
        <w:tc>
          <w:tcPr>
            <w:tcW w:type="dxa" w:w="1984"/>
          </w:tcPr>
          <w:p>
            <w:r>
              <w:rPr>
                <w:sz w:val="20"/>
              </w:rPr>
              <w:t>硫酸根自由基</w:t>
            </w:r>
          </w:p>
        </w:tc>
        <w:tc>
          <w:tcPr>
            <w:tcW w:type="dxa" w:w="3402"/>
          </w:tcPr>
          <w:p>
            <w:r>
              <w:rPr>
                <w:sz w:val="20"/>
              </w:rPr>
              <w:t>exclusively generating sulfate radicals</w:t>
            </w:r>
          </w:p>
        </w:tc>
        <w:tc>
          <w:tcPr>
            <w:tcW w:type="dxa" w:w="850"/>
          </w:tcPr>
          <w:p>
            <w:r>
              <w:rPr>
                <w:sz w:val="20"/>
              </w:rPr>
              <w:t>0.97</w:t>
            </w:r>
          </w:p>
        </w:tc>
      </w:tr>
      <w:tr>
        <w:tc>
          <w:tcPr>
            <w:tcW w:type="dxa" w:w="1701"/>
          </w:tcPr>
          <w:p>
            <w:r>
              <w:rPr>
                <w:sz w:val="20"/>
              </w:rPr>
              <w:t>reactive oxygen species (ROS)</w:t>
            </w:r>
          </w:p>
        </w:tc>
        <w:tc>
          <w:tcPr>
            <w:tcW w:type="dxa" w:w="1984"/>
          </w:tcPr>
          <w:p>
            <w:r>
              <w:rPr>
                <w:sz w:val="20"/>
              </w:rPr>
              <w:t>活性氧物种</w:t>
            </w:r>
          </w:p>
        </w:tc>
        <w:tc>
          <w:tcPr>
            <w:tcW w:type="dxa" w:w="3402"/>
          </w:tcPr>
          <w:p>
            <w:r>
              <w:rPr>
                <w:sz w:val="20"/>
              </w:rPr>
              <w:t>generate reactive oxygen species</w:t>
            </w:r>
          </w:p>
        </w:tc>
        <w:tc>
          <w:tcPr>
            <w:tcW w:type="dxa" w:w="850"/>
          </w:tcPr>
          <w:p>
            <w:r>
              <w:rPr>
                <w:sz w:val="20"/>
              </w:rPr>
              <w:t>0.96</w:t>
            </w:r>
          </w:p>
        </w:tc>
      </w:tr>
      <w:tr>
        <w:tc>
          <w:tcPr>
            <w:tcW w:type="dxa" w:w="1701"/>
          </w:tcPr>
          <w:p>
            <w:r>
              <w:rPr>
                <w:sz w:val="20"/>
              </w:rPr>
              <w:t>standard reduction potential</w:t>
            </w:r>
          </w:p>
        </w:tc>
        <w:tc>
          <w:tcPr>
            <w:tcW w:type="dxa" w:w="1984"/>
          </w:tcPr>
          <w:p>
            <w:r>
              <w:rPr>
                <w:sz w:val="20"/>
              </w:rPr>
              <w:t>标准还原电位</w:t>
            </w:r>
          </w:p>
        </w:tc>
        <w:tc>
          <w:tcPr>
            <w:tcW w:type="dxa" w:w="3402"/>
          </w:tcPr>
          <w:p>
            <w:r>
              <w:rPr>
                <w:sz w:val="20"/>
              </w:rPr>
              <w:t>standard reduction potential ranging from 2.5 to 3...</w:t>
            </w:r>
          </w:p>
        </w:tc>
        <w:tc>
          <w:tcPr>
            <w:tcW w:type="dxa" w:w="850"/>
          </w:tcPr>
          <w:p>
            <w:r>
              <w:rPr>
                <w:sz w:val="20"/>
              </w:rPr>
              <w:t>0.93</w:t>
            </w:r>
          </w:p>
        </w:tc>
      </w:tr>
      <w:tr>
        <w:tc>
          <w:tcPr>
            <w:tcW w:type="dxa" w:w="1701"/>
          </w:tcPr>
          <w:p>
            <w:r>
              <w:rPr>
                <w:sz w:val="20"/>
              </w:rPr>
              <w:t>acidic conditions</w:t>
            </w:r>
          </w:p>
        </w:tc>
        <w:tc>
          <w:tcPr>
            <w:tcW w:type="dxa" w:w="1984"/>
          </w:tcPr>
          <w:p>
            <w:r>
              <w:rPr>
                <w:sz w:val="20"/>
              </w:rPr>
              <w:t>酸性条件</w:t>
            </w:r>
          </w:p>
        </w:tc>
        <w:tc>
          <w:tcPr>
            <w:tcW w:type="dxa" w:w="3402"/>
          </w:tcPr>
          <w:p>
            <w:r>
              <w:rPr>
                <w:sz w:val="20"/>
              </w:rPr>
              <w:t>Under such acidic conditions</w:t>
            </w:r>
          </w:p>
        </w:tc>
        <w:tc>
          <w:tcPr>
            <w:tcW w:type="dxa" w:w="850"/>
          </w:tcPr>
          <w:p>
            <w:r>
              <w:rPr>
                <w:sz w:val="20"/>
              </w:rPr>
              <w:t>0.95</w:t>
            </w:r>
          </w:p>
        </w:tc>
      </w:tr>
    </w:tbl>
    <w:p/>
    <w:p>
      <w:r>
        <w:rPr>
          <w:b/>
        </w:rPr>
        <w:t xml:space="preserve">辅学科 [化学]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Single-atom catalysts (SACs)</w:t>
            </w:r>
          </w:p>
        </w:tc>
        <w:tc>
          <w:tcPr>
            <w:tcW w:type="dxa" w:w="2835"/>
          </w:tcPr>
          <w:p>
            <w:r>
              <w:rPr>
                <w:sz w:val="20"/>
              </w:rPr>
              <w:t>单原子催化剂</w:t>
            </w:r>
          </w:p>
        </w:tc>
        <w:tc>
          <w:tcPr>
            <w:tcW w:type="dxa" w:w="1134"/>
          </w:tcPr>
          <w:p>
            <w:r>
              <w:rPr>
                <w:sz w:val="20"/>
              </w:rPr>
              <w:t>0.99</w:t>
            </w:r>
          </w:p>
        </w:tc>
      </w:tr>
      <w:tr>
        <w:tc>
          <w:tcPr>
            <w:tcW w:type="dxa" w:w="2268"/>
          </w:tcPr>
          <w:p>
            <w:r>
              <w:rPr>
                <w:sz w:val="20"/>
              </w:rPr>
              <w:t>activity-stability trade-off</w:t>
            </w:r>
          </w:p>
        </w:tc>
        <w:tc>
          <w:tcPr>
            <w:tcW w:type="dxa" w:w="2835"/>
          </w:tcPr>
          <w:p>
            <w:r>
              <w:rPr>
                <w:sz w:val="20"/>
              </w:rPr>
              <w:t>活性-稳定性权衡</w:t>
            </w:r>
          </w:p>
        </w:tc>
        <w:tc>
          <w:tcPr>
            <w:tcW w:type="dxa" w:w="1134"/>
          </w:tcPr>
          <w:p>
            <w:r>
              <w:rPr>
                <w:sz w:val="20"/>
              </w:rPr>
              <w:t>0.97</w:t>
            </w:r>
          </w:p>
        </w:tc>
      </w:tr>
      <w:tr>
        <w:tc>
          <w:tcPr>
            <w:tcW w:type="dxa" w:w="2268"/>
          </w:tcPr>
          <w:p>
            <w:r>
              <w:rPr>
                <w:sz w:val="20"/>
              </w:rPr>
              <w:t>contaminant degradation</w:t>
            </w:r>
          </w:p>
        </w:tc>
        <w:tc>
          <w:tcPr>
            <w:tcW w:type="dxa" w:w="2835"/>
          </w:tcPr>
          <w:p>
            <w:r>
              <w:rPr>
                <w:sz w:val="20"/>
              </w:rPr>
              <w:t>污染物降解</w:t>
            </w:r>
          </w:p>
        </w:tc>
        <w:tc>
          <w:tcPr>
            <w:tcW w:type="dxa" w:w="1134"/>
          </w:tcPr>
          <w:p>
            <w:r>
              <w:rPr>
                <w:sz w:val="20"/>
              </w:rPr>
              <w:t>0.96</w:t>
            </w:r>
          </w:p>
        </w:tc>
      </w:tr>
      <w:tr>
        <w:tc>
          <w:tcPr>
            <w:tcW w:type="dxa" w:w="2268"/>
          </w:tcPr>
          <w:p>
            <w:r>
              <w:rPr>
                <w:sz w:val="20"/>
              </w:rPr>
              <w:t>leaching of active sites</w:t>
            </w:r>
          </w:p>
        </w:tc>
        <w:tc>
          <w:tcPr>
            <w:tcW w:type="dxa" w:w="2835"/>
          </w:tcPr>
          <w:p>
            <w:r>
              <w:rPr>
                <w:sz w:val="20"/>
              </w:rPr>
              <w:t>活性位点浸出</w:t>
            </w:r>
          </w:p>
        </w:tc>
        <w:tc>
          <w:tcPr>
            <w:tcW w:type="dxa" w:w="1134"/>
          </w:tcPr>
          <w:p>
            <w:r>
              <w:rPr>
                <w:sz w:val="20"/>
              </w:rPr>
              <w:t>0.95</w:t>
            </w:r>
          </w:p>
        </w:tc>
      </w:tr>
    </w:tbl>
    <w:p/>
    <w:p>
      <w:r>
        <w:rPr>
          <w:b/>
        </w:rPr>
        <w:t xml:space="preserve">辅学科 [材料科学]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nano-island encapsulated</w:t>
            </w:r>
          </w:p>
        </w:tc>
        <w:tc>
          <w:tcPr>
            <w:tcW w:type="dxa" w:w="2835"/>
          </w:tcPr>
          <w:p>
            <w:r>
              <w:rPr>
                <w:sz w:val="20"/>
              </w:rPr>
              <w:t>纳米岛封装</w:t>
            </w:r>
          </w:p>
        </w:tc>
        <w:tc>
          <w:tcPr>
            <w:tcW w:type="dxa" w:w="1134"/>
          </w:tcPr>
          <w:p>
            <w:r>
              <w:rPr>
                <w:sz w:val="20"/>
              </w:rPr>
              <w:t>0.98</w:t>
            </w:r>
          </w:p>
        </w:tc>
      </w:tr>
      <w:tr>
        <w:tc>
          <w:tcPr>
            <w:tcW w:type="dxa" w:w="2268"/>
          </w:tcPr>
          <w:p>
            <w:r>
              <w:rPr>
                <w:sz w:val="20"/>
              </w:rPr>
              <w:t>ZnO nanoparticles</w:t>
            </w:r>
          </w:p>
        </w:tc>
        <w:tc>
          <w:tcPr>
            <w:tcW w:type="dxa" w:w="2835"/>
          </w:tcPr>
          <w:p>
            <w:r>
              <w:rPr>
                <w:sz w:val="20"/>
              </w:rPr>
              <w:t>氧化锌纳米颗粒</w:t>
            </w:r>
          </w:p>
        </w:tc>
        <w:tc>
          <w:tcPr>
            <w:tcW w:type="dxa" w:w="1134"/>
          </w:tcPr>
          <w:p>
            <w:r>
              <w:rPr>
                <w:sz w:val="20"/>
              </w:rPr>
              <w:t>0.97</w:t>
            </w:r>
          </w:p>
        </w:tc>
      </w:tr>
      <w:tr>
        <w:tc>
          <w:tcPr>
            <w:tcW w:type="dxa" w:w="2268"/>
          </w:tcPr>
          <w:p>
            <w:r>
              <w:rPr>
                <w:sz w:val="20"/>
              </w:rPr>
              <w:t>Co single atoms</w:t>
            </w:r>
          </w:p>
        </w:tc>
        <w:tc>
          <w:tcPr>
            <w:tcW w:type="dxa" w:w="2835"/>
          </w:tcPr>
          <w:p>
            <w:r>
              <w:rPr>
                <w:sz w:val="20"/>
              </w:rPr>
              <w:t>钴单原子</w:t>
            </w:r>
          </w:p>
        </w:tc>
        <w:tc>
          <w:tcPr>
            <w:tcW w:type="dxa" w:w="1134"/>
          </w:tcPr>
          <w:p>
            <w:r>
              <w:rPr>
                <w:sz w:val="20"/>
              </w:rPr>
              <w:t>0.96</w:t>
            </w:r>
          </w:p>
        </w:tc>
      </w:tr>
      <w:tr>
        <w:tc>
          <w:tcPr>
            <w:tcW w:type="dxa" w:w="2268"/>
          </w:tcPr>
          <w:p>
            <w:r>
              <w:rPr>
                <w:sz w:val="20"/>
              </w:rPr>
              <w:t>anion exchange membrane</w:t>
            </w:r>
          </w:p>
        </w:tc>
        <w:tc>
          <w:tcPr>
            <w:tcW w:type="dxa" w:w="2835"/>
          </w:tcPr>
          <w:p>
            <w:r>
              <w:rPr>
                <w:sz w:val="20"/>
              </w:rPr>
              <w:t>阴离子交换膜</w:t>
            </w:r>
          </w:p>
        </w:tc>
        <w:tc>
          <w:tcPr>
            <w:tcW w:type="dxa" w:w="1134"/>
          </w:tcPr>
          <w:p>
            <w:r>
              <w:rPr>
                <w:sz w:val="20"/>
              </w:rPr>
              <w:t>0.85</w:t>
            </w:r>
          </w:p>
        </w:tc>
      </w:tr>
    </w:tbl>
    <w:p/>
    <w:p>
      <w:r>
        <w:rPr>
          <w:b/>
        </w:rPr>
        <w:t xml:space="preserve">辅学科 [环境科学技术]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recalcitrant pollutants</w:t>
            </w:r>
          </w:p>
        </w:tc>
        <w:tc>
          <w:tcPr>
            <w:tcW w:type="dxa" w:w="2835"/>
          </w:tcPr>
          <w:p>
            <w:r>
              <w:rPr>
                <w:sz w:val="20"/>
              </w:rPr>
              <w:t>难降解污染物</w:t>
            </w:r>
          </w:p>
        </w:tc>
        <w:tc>
          <w:tcPr>
            <w:tcW w:type="dxa" w:w="1134"/>
          </w:tcPr>
          <w:p>
            <w:r>
              <w:rPr>
                <w:sz w:val="20"/>
              </w:rPr>
              <w:t>0.97</w:t>
            </w:r>
          </w:p>
        </w:tc>
      </w:tr>
      <w:tr>
        <w:tc>
          <w:tcPr>
            <w:tcW w:type="dxa" w:w="2268"/>
          </w:tcPr>
          <w:p>
            <w:r>
              <w:rPr>
                <w:sz w:val="20"/>
              </w:rPr>
              <w:t>low-toxicity decontamination</w:t>
            </w:r>
          </w:p>
        </w:tc>
        <w:tc>
          <w:tcPr>
            <w:tcW w:type="dxa" w:w="2835"/>
          </w:tcPr>
          <w:p>
            <w:r>
              <w:rPr>
                <w:sz w:val="20"/>
              </w:rPr>
              <w:t>低毒性去污</w:t>
            </w:r>
          </w:p>
        </w:tc>
        <w:tc>
          <w:tcPr>
            <w:tcW w:type="dxa" w:w="1134"/>
          </w:tcPr>
          <w:p>
            <w:r>
              <w:rPr>
                <w:sz w:val="20"/>
              </w:rPr>
              <w:t>0.95</w:t>
            </w:r>
          </w:p>
        </w:tc>
      </w:tr>
      <w:tr>
        <w:tc>
          <w:tcPr>
            <w:tcW w:type="dxa" w:w="2268"/>
          </w:tcPr>
          <w:p>
            <w:r>
              <w:rPr>
                <w:sz w:val="20"/>
              </w:rPr>
              <w:t>Persistent organic pollutants</w:t>
            </w:r>
          </w:p>
        </w:tc>
        <w:tc>
          <w:tcPr>
            <w:tcW w:type="dxa" w:w="2835"/>
          </w:tcPr>
          <w:p>
            <w:r>
              <w:rPr>
                <w:sz w:val="20"/>
              </w:rPr>
              <w:t>持久性有机污染物</w:t>
            </w:r>
          </w:p>
        </w:tc>
        <w:tc>
          <w:tcPr>
            <w:tcW w:type="dxa" w:w="1134"/>
          </w:tcPr>
          <w:p>
            <w:r>
              <w:rPr>
                <w:sz w:val="20"/>
              </w:rPr>
              <w:t>0.96</w:t>
            </w:r>
          </w:p>
        </w:tc>
      </w:tr>
      <w:tr>
        <w:tc>
          <w:tcPr>
            <w:tcW w:type="dxa" w:w="2268"/>
          </w:tcPr>
          <w:p>
            <w:r>
              <w:rPr>
                <w:sz w:val="20"/>
              </w:rPr>
              <w:t>wastewater treatment</w:t>
            </w:r>
          </w:p>
        </w:tc>
        <w:tc>
          <w:tcPr>
            <w:tcW w:type="dxa" w:w="2835"/>
          </w:tcPr>
          <w:p>
            <w:r>
              <w:rPr>
                <w:sz w:val="20"/>
              </w:rPr>
              <w:t>污水处理</w:t>
            </w:r>
          </w:p>
        </w:tc>
        <w:tc>
          <w:tcPr>
            <w:tcW w:type="dxa" w:w="1134"/>
          </w:tcPr>
          <w:p>
            <w:r>
              <w:rPr>
                <w:sz w:val="20"/>
              </w:rPr>
              <w:t>0.94</w:t>
            </w:r>
          </w:p>
        </w:tc>
      </w:tr>
    </w:tbl>
    <w:p/>
    <w:p/>
    <w:p>
      <w:pPr>
        <w:pStyle w:val="Heading3"/>
      </w:pPr>
      <w:r>
        <w:t>样例 2: High-entropy alloy enables multi-path electron synergism and lattice oxygen acti...</w:t>
      </w:r>
    </w:p>
    <w:p>
      <w:r>
        <w:rPr>
          <w:b/>
        </w:rPr>
        <w:t xml:space="preserve">主学科: </w:t>
      </w:r>
      <w:r>
        <w:t>化学</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electrocatalytic oxygen evolution reaction (OER)</w:t>
            </w:r>
          </w:p>
        </w:tc>
        <w:tc>
          <w:tcPr>
            <w:tcW w:type="dxa" w:w="1984"/>
          </w:tcPr>
          <w:p>
            <w:r>
              <w:rPr>
                <w:sz w:val="20"/>
              </w:rPr>
              <w:t>电催化氧析出反应</w:t>
            </w:r>
          </w:p>
        </w:tc>
        <w:tc>
          <w:tcPr>
            <w:tcW w:type="dxa" w:w="3402"/>
          </w:tcPr>
          <w:p>
            <w:r>
              <w:rPr>
                <w:sz w:val="20"/>
              </w:rPr>
              <w:t>Electrocatalytic oxygen evolution reaction (OER) i...</w:t>
            </w:r>
          </w:p>
        </w:tc>
        <w:tc>
          <w:tcPr>
            <w:tcW w:type="dxa" w:w="850"/>
          </w:tcPr>
          <w:p>
            <w:r>
              <w:rPr>
                <w:sz w:val="20"/>
              </w:rPr>
              <w:t>0.98</w:t>
            </w:r>
          </w:p>
        </w:tc>
      </w:tr>
      <w:tr>
        <w:tc>
          <w:tcPr>
            <w:tcW w:type="dxa" w:w="1701"/>
          </w:tcPr>
          <w:p>
            <w:r>
              <w:rPr>
                <w:sz w:val="20"/>
              </w:rPr>
              <w:t>lattice oxygen activation mechanism (LOM)</w:t>
            </w:r>
          </w:p>
        </w:tc>
        <w:tc>
          <w:tcPr>
            <w:tcW w:type="dxa" w:w="1984"/>
          </w:tcPr>
          <w:p>
            <w:r>
              <w:rPr>
                <w:sz w:val="20"/>
              </w:rPr>
              <w:t>晶格氧活化机制</w:t>
            </w:r>
          </w:p>
        </w:tc>
        <w:tc>
          <w:tcPr>
            <w:tcW w:type="dxa" w:w="3402"/>
          </w:tcPr>
          <w:p>
            <w:r>
              <w:rPr>
                <w:sz w:val="20"/>
              </w:rPr>
              <w:t>Leveraging the lattice oxygen activation mechanism...</w:t>
            </w:r>
          </w:p>
        </w:tc>
        <w:tc>
          <w:tcPr>
            <w:tcW w:type="dxa" w:w="850"/>
          </w:tcPr>
          <w:p>
            <w:r>
              <w:rPr>
                <w:sz w:val="20"/>
              </w:rPr>
              <w:t>0.98</w:t>
            </w:r>
          </w:p>
        </w:tc>
      </w:tr>
      <w:tr>
        <w:tc>
          <w:tcPr>
            <w:tcW w:type="dxa" w:w="1701"/>
          </w:tcPr>
          <w:p>
            <w:r>
              <w:rPr>
                <w:sz w:val="20"/>
              </w:rPr>
              <w:t>high-valent oxidation</w:t>
            </w:r>
          </w:p>
        </w:tc>
        <w:tc>
          <w:tcPr>
            <w:tcW w:type="dxa" w:w="1984"/>
          </w:tcPr>
          <w:p>
            <w:r>
              <w:rPr>
                <w:sz w:val="20"/>
              </w:rPr>
              <w:t>高氧化态</w:t>
            </w:r>
          </w:p>
        </w:tc>
        <w:tc>
          <w:tcPr>
            <w:tcW w:type="dxa" w:w="3402"/>
          </w:tcPr>
          <w:p>
            <w:r>
              <w:rPr>
                <w:sz w:val="20"/>
              </w:rPr>
              <w:t>requiring high-valent oxidation of metal ions</w:t>
            </w:r>
          </w:p>
        </w:tc>
        <w:tc>
          <w:tcPr>
            <w:tcW w:type="dxa" w:w="850"/>
          </w:tcPr>
          <w:p>
            <w:r>
              <w:rPr>
                <w:sz w:val="20"/>
              </w:rPr>
              <w:t>0.95</w:t>
            </w:r>
          </w:p>
        </w:tc>
      </w:tr>
      <w:tr>
        <w:tc>
          <w:tcPr>
            <w:tcW w:type="dxa" w:w="1701"/>
          </w:tcPr>
          <w:p>
            <w:r>
              <w:rPr>
                <w:sz w:val="20"/>
              </w:rPr>
              <w:t>multi-path electron transfer</w:t>
            </w:r>
          </w:p>
        </w:tc>
        <w:tc>
          <w:tcPr>
            <w:tcW w:type="dxa" w:w="1984"/>
          </w:tcPr>
          <w:p>
            <w:r>
              <w:rPr>
                <w:sz w:val="20"/>
              </w:rPr>
              <w:t>多路径电子转移</w:t>
            </w:r>
          </w:p>
        </w:tc>
        <w:tc>
          <w:tcPr>
            <w:tcW w:type="dxa" w:w="3402"/>
          </w:tcPr>
          <w:p>
            <w:r>
              <w:rPr>
                <w:sz w:val="20"/>
              </w:rPr>
              <w:t>synergistic multi-path electron transfer</w:t>
            </w:r>
          </w:p>
        </w:tc>
        <w:tc>
          <w:tcPr>
            <w:tcW w:type="dxa" w:w="850"/>
          </w:tcPr>
          <w:p>
            <w:r>
              <w:rPr>
                <w:sz w:val="20"/>
              </w:rPr>
              <w:t>0.97</w:t>
            </w:r>
          </w:p>
        </w:tc>
      </w:tr>
      <w:tr>
        <w:tc>
          <w:tcPr>
            <w:tcW w:type="dxa" w:w="1701"/>
          </w:tcPr>
          <w:p>
            <w:r>
              <w:rPr>
                <w:sz w:val="20"/>
              </w:rPr>
              <w:t>overpotential</w:t>
            </w:r>
          </w:p>
        </w:tc>
        <w:tc>
          <w:tcPr>
            <w:tcW w:type="dxa" w:w="1984"/>
          </w:tcPr>
          <w:p>
            <w:r>
              <w:rPr>
                <w:sz w:val="20"/>
              </w:rPr>
              <w:t>过电位</w:t>
            </w:r>
          </w:p>
        </w:tc>
        <w:tc>
          <w:tcPr>
            <w:tcW w:type="dxa" w:w="3402"/>
          </w:tcPr>
          <w:p>
            <w:r>
              <w:rPr>
                <w:sz w:val="20"/>
              </w:rPr>
              <w:t>achieving an overpotential of 220 mV</w:t>
            </w:r>
          </w:p>
        </w:tc>
        <w:tc>
          <w:tcPr>
            <w:tcW w:type="dxa" w:w="850"/>
          </w:tcPr>
          <w:p>
            <w:r>
              <w:rPr>
                <w:sz w:val="20"/>
              </w:rPr>
              <w:t>0.96</w:t>
            </w:r>
          </w:p>
        </w:tc>
      </w:tr>
      <w:tr>
        <w:tc>
          <w:tcPr>
            <w:tcW w:type="dxa" w:w="1701"/>
          </w:tcPr>
          <w:p>
            <w:r>
              <w:rPr>
                <w:sz w:val="20"/>
              </w:rPr>
              <w:t>current density</w:t>
            </w:r>
          </w:p>
        </w:tc>
        <w:tc>
          <w:tcPr>
            <w:tcW w:type="dxa" w:w="1984"/>
          </w:tcPr>
          <w:p>
            <w:r>
              <w:rPr>
                <w:sz w:val="20"/>
              </w:rPr>
              <w:t>电流密度</w:t>
            </w:r>
          </w:p>
        </w:tc>
        <w:tc>
          <w:tcPr>
            <w:tcW w:type="dxa" w:w="3402"/>
          </w:tcPr>
          <w:p>
            <w:r>
              <w:rPr>
                <w:sz w:val="20"/>
              </w:rPr>
              <w:t>at a current density of 10 mA cm⁻²</w:t>
            </w:r>
          </w:p>
        </w:tc>
        <w:tc>
          <w:tcPr>
            <w:tcW w:type="dxa" w:w="850"/>
          </w:tcPr>
          <w:p>
            <w:r>
              <w:rPr>
                <w:sz w:val="20"/>
              </w:rPr>
              <w:t>0.96</w:t>
            </w:r>
          </w:p>
        </w:tc>
      </w:tr>
    </w:tbl>
    <w:p/>
    <w:p>
      <w:r>
        <w:rPr>
          <w:b/>
        </w:rPr>
        <w:t xml:space="preserve">辅学科 [化学]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KOH</w:t>
            </w:r>
          </w:p>
        </w:tc>
        <w:tc>
          <w:tcPr>
            <w:tcW w:type="dxa" w:w="2835"/>
          </w:tcPr>
          <w:p>
            <w:r>
              <w:rPr>
                <w:sz w:val="20"/>
              </w:rPr>
              <w:t>氢氧化钾</w:t>
            </w:r>
          </w:p>
        </w:tc>
        <w:tc>
          <w:tcPr>
            <w:tcW w:type="dxa" w:w="1134"/>
          </w:tcPr>
          <w:p>
            <w:r>
              <w:rPr>
                <w:sz w:val="20"/>
              </w:rPr>
              <w:t>0.98</w:t>
            </w:r>
          </w:p>
        </w:tc>
      </w:tr>
      <w:tr>
        <w:tc>
          <w:tcPr>
            <w:tcW w:type="dxa" w:w="2268"/>
          </w:tcPr>
          <w:p>
            <w:r>
              <w:rPr>
                <w:sz w:val="20"/>
              </w:rPr>
              <w:t>TMAOH</w:t>
            </w:r>
          </w:p>
        </w:tc>
        <w:tc>
          <w:tcPr>
            <w:tcW w:type="dxa" w:w="2835"/>
          </w:tcPr>
          <w:p>
            <w:r>
              <w:rPr>
                <w:sz w:val="20"/>
              </w:rPr>
              <w:t>四甲基氢氧化铵</w:t>
            </w:r>
          </w:p>
        </w:tc>
        <w:tc>
          <w:tcPr>
            <w:tcW w:type="dxa" w:w="1134"/>
          </w:tcPr>
          <w:p>
            <w:r>
              <w:rPr>
                <w:sz w:val="20"/>
              </w:rPr>
              <w:t>0.97</w:t>
            </w:r>
          </w:p>
        </w:tc>
      </w:tr>
      <w:tr>
        <w:tc>
          <w:tcPr>
            <w:tcW w:type="dxa" w:w="2268"/>
          </w:tcPr>
          <w:p>
            <w:r>
              <w:rPr>
                <w:sz w:val="20"/>
              </w:rPr>
              <w:t>TMA⁺ cations</w:t>
            </w:r>
          </w:p>
        </w:tc>
        <w:tc>
          <w:tcPr>
            <w:tcW w:type="dxa" w:w="2835"/>
          </w:tcPr>
          <w:p>
            <w:r>
              <w:rPr>
                <w:sz w:val="20"/>
              </w:rPr>
              <w:t>四甲基铵阳离子</w:t>
            </w:r>
          </w:p>
        </w:tc>
        <w:tc>
          <w:tcPr>
            <w:tcW w:type="dxa" w:w="1134"/>
          </w:tcPr>
          <w:p>
            <w:r>
              <w:rPr>
                <w:sz w:val="20"/>
              </w:rPr>
              <w:t>0.96</w:t>
            </w:r>
          </w:p>
        </w:tc>
      </w:tr>
      <w:tr>
        <w:tc>
          <w:tcPr>
            <w:tcW w:type="dxa" w:w="2268"/>
          </w:tcPr>
          <w:p>
            <w:r>
              <w:rPr>
                <w:sz w:val="20"/>
              </w:rPr>
              <w:t>oxygen-containing intermediates (O₂⁻)</w:t>
            </w:r>
          </w:p>
        </w:tc>
        <w:tc>
          <w:tcPr>
            <w:tcW w:type="dxa" w:w="2835"/>
          </w:tcPr>
          <w:p>
            <w:r>
              <w:rPr>
                <w:sz w:val="20"/>
              </w:rPr>
              <w:t>含氧中间体</w:t>
            </w:r>
          </w:p>
        </w:tc>
        <w:tc>
          <w:tcPr>
            <w:tcW w:type="dxa" w:w="1134"/>
          </w:tcPr>
          <w:p>
            <w:r>
              <w:rPr>
                <w:sz w:val="20"/>
              </w:rPr>
              <w:t>0.95</w:t>
            </w:r>
          </w:p>
        </w:tc>
      </w:tr>
    </w:tbl>
    <w:p/>
    <w:p>
      <w:r>
        <w:rPr>
          <w:b/>
        </w:rPr>
        <w:t xml:space="preserve">辅学科 [材料科学]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high-entropy alloys (HEAs)</w:t>
            </w:r>
          </w:p>
        </w:tc>
        <w:tc>
          <w:tcPr>
            <w:tcW w:type="dxa" w:w="2835"/>
          </w:tcPr>
          <w:p>
            <w:r>
              <w:rPr>
                <w:sz w:val="20"/>
              </w:rPr>
              <w:t>高熵合金</w:t>
            </w:r>
          </w:p>
        </w:tc>
        <w:tc>
          <w:tcPr>
            <w:tcW w:type="dxa" w:w="1134"/>
          </w:tcPr>
          <w:p>
            <w:r>
              <w:rPr>
                <w:sz w:val="20"/>
              </w:rPr>
              <w:t>0.99</w:t>
            </w:r>
          </w:p>
        </w:tc>
      </w:tr>
      <w:tr>
        <w:tc>
          <w:tcPr>
            <w:tcW w:type="dxa" w:w="2268"/>
          </w:tcPr>
          <w:p>
            <w:r>
              <w:rPr>
                <w:sz w:val="20"/>
              </w:rPr>
              <w:t>NiFeCoCrW₀.₂ HEA</w:t>
            </w:r>
          </w:p>
        </w:tc>
        <w:tc>
          <w:tcPr>
            <w:tcW w:type="dxa" w:w="2835"/>
          </w:tcPr>
          <w:p>
            <w:r>
              <w:rPr>
                <w:sz w:val="20"/>
              </w:rPr>
              <w:t>₀.₂高熵合金</w:t>
            </w:r>
          </w:p>
        </w:tc>
        <w:tc>
          <w:tcPr>
            <w:tcW w:type="dxa" w:w="1134"/>
          </w:tcPr>
          <w:p>
            <w:r>
              <w:rPr>
                <w:sz w:val="20"/>
              </w:rPr>
              <w:t>0.97</w:t>
            </w:r>
          </w:p>
        </w:tc>
      </w:tr>
      <w:tr>
        <w:tc>
          <w:tcPr>
            <w:tcW w:type="dxa" w:w="2268"/>
          </w:tcPr>
          <w:p>
            <w:r>
              <w:rPr>
                <w:sz w:val="20"/>
              </w:rPr>
              <w:t>Ni–O bond</w:t>
            </w:r>
          </w:p>
        </w:tc>
        <w:tc>
          <w:tcPr>
            <w:tcW w:type="dxa" w:w="2835"/>
          </w:tcPr>
          <w:p>
            <w:r>
              <w:rPr>
                <w:sz w:val="20"/>
              </w:rPr>
              <w:t>键</w:t>
            </w:r>
          </w:p>
        </w:tc>
        <w:tc>
          <w:tcPr>
            <w:tcW w:type="dxa" w:w="1134"/>
          </w:tcPr>
          <w:p>
            <w:r>
              <w:rPr>
                <w:sz w:val="20"/>
              </w:rPr>
              <w:t>0.96</w:t>
            </w:r>
          </w:p>
        </w:tc>
      </w:tr>
      <w:tr>
        <w:tc>
          <w:tcPr>
            <w:tcW w:type="dxa" w:w="2268"/>
          </w:tcPr>
          <w:p>
            <w:r>
              <w:rPr>
                <w:sz w:val="20"/>
              </w:rPr>
              <w:t>Fe–O bond</w:t>
            </w:r>
          </w:p>
        </w:tc>
        <w:tc>
          <w:tcPr>
            <w:tcW w:type="dxa" w:w="2835"/>
          </w:tcPr>
          <w:p>
            <w:r>
              <w:rPr>
                <w:sz w:val="20"/>
              </w:rPr>
              <w:t>键</w:t>
            </w:r>
          </w:p>
        </w:tc>
        <w:tc>
          <w:tcPr>
            <w:tcW w:type="dxa" w:w="1134"/>
          </w:tcPr>
          <w:p>
            <w:r>
              <w:rPr>
                <w:sz w:val="20"/>
              </w:rPr>
              <w:t>0.95</w:t>
            </w:r>
          </w:p>
        </w:tc>
      </w:tr>
    </w:tbl>
    <w:p/>
    <w:p/>
    <w:p>
      <w:pPr>
        <w:pStyle w:val="Heading3"/>
      </w:pPr>
      <w:r>
        <w:t>样例 3: MXene-Assisted NiFe sulfides for high-performance anion exchange membrane seawat...</w:t>
      </w:r>
    </w:p>
    <w:p>
      <w:r>
        <w:rPr>
          <w:b/>
        </w:rPr>
        <w:t xml:space="preserve">主学科: </w:t>
      </w:r>
      <w:r>
        <w:t>化学</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anion exchange membrane seawater electrolysis</w:t>
            </w:r>
          </w:p>
        </w:tc>
        <w:tc>
          <w:tcPr>
            <w:tcW w:type="dxa" w:w="1984"/>
          </w:tcPr>
          <w:p>
            <w:r>
              <w:rPr>
                <w:sz w:val="20"/>
              </w:rPr>
              <w:t>阴离子交换膜海水电解</w:t>
            </w:r>
          </w:p>
        </w:tc>
        <w:tc>
          <w:tcPr>
            <w:tcW w:type="dxa" w:w="3402"/>
          </w:tcPr>
          <w:p>
            <w:r>
              <w:rPr>
                <w:sz w:val="20"/>
              </w:rPr>
              <w:t>Anion exchange membrane seawater electrolysis is v...</w:t>
            </w:r>
          </w:p>
        </w:tc>
        <w:tc>
          <w:tcPr>
            <w:tcW w:type="dxa" w:w="850"/>
          </w:tcPr>
          <w:p>
            <w:r>
              <w:rPr>
                <w:sz w:val="20"/>
              </w:rPr>
              <w:t>0.95</w:t>
            </w:r>
          </w:p>
        </w:tc>
      </w:tr>
      <w:tr>
        <w:tc>
          <w:tcPr>
            <w:tcW w:type="dxa" w:w="1701"/>
          </w:tcPr>
          <w:p>
            <w:r>
              <w:rPr>
                <w:sz w:val="20"/>
              </w:rPr>
              <w:t>oxygen evolution reaction electrocatalysts</w:t>
            </w:r>
          </w:p>
        </w:tc>
        <w:tc>
          <w:tcPr>
            <w:tcW w:type="dxa" w:w="1984"/>
          </w:tcPr>
          <w:p>
            <w:r>
              <w:rPr>
                <w:sz w:val="20"/>
              </w:rPr>
              <w:t>析氧反应电催化剂</w:t>
            </w:r>
          </w:p>
        </w:tc>
        <w:tc>
          <w:tcPr>
            <w:tcW w:type="dxa" w:w="3402"/>
          </w:tcPr>
          <w:p>
            <w:r>
              <w:rPr>
                <w:sz w:val="20"/>
              </w:rPr>
              <w:t>enduring a huge challenge that lacks high-stable o...</w:t>
            </w:r>
          </w:p>
        </w:tc>
        <w:tc>
          <w:tcPr>
            <w:tcW w:type="dxa" w:w="850"/>
          </w:tcPr>
          <w:p>
            <w:r>
              <w:rPr>
                <w:sz w:val="20"/>
              </w:rPr>
              <w:t>0.98</w:t>
            </w:r>
          </w:p>
        </w:tc>
      </w:tr>
      <w:tr>
        <w:tc>
          <w:tcPr>
            <w:tcW w:type="dxa" w:w="1701"/>
          </w:tcPr>
          <w:p>
            <w:r>
              <w:rPr>
                <w:sz w:val="20"/>
              </w:rPr>
              <w:t>MXene (Ti₃C₂)</w:t>
            </w:r>
          </w:p>
        </w:tc>
        <w:tc>
          <w:tcPr>
            <w:tcW w:type="dxa" w:w="1984"/>
          </w:tcPr>
          <w:p>
            <w:r>
              <w:rPr>
                <w:sz w:val="20"/>
              </w:rPr>
              <w:t>碳化钛</w:t>
            </w:r>
          </w:p>
        </w:tc>
        <w:tc>
          <w:tcPr>
            <w:tcW w:type="dxa" w:w="3402"/>
          </w:tcPr>
          <w:p>
            <w:r>
              <w:rPr>
                <w:sz w:val="20"/>
              </w:rPr>
              <w:t>integrating MXene (Ti₃C₂) with NiFe sulfides</w:t>
            </w:r>
          </w:p>
        </w:tc>
        <w:tc>
          <w:tcPr>
            <w:tcW w:type="dxa" w:w="850"/>
          </w:tcPr>
          <w:p>
            <w:r>
              <w:rPr>
                <w:sz w:val="20"/>
              </w:rPr>
              <w:t>0.99</w:t>
            </w:r>
          </w:p>
        </w:tc>
      </w:tr>
      <w:tr>
        <w:tc>
          <w:tcPr>
            <w:tcW w:type="dxa" w:w="1701"/>
          </w:tcPr>
          <w:p>
            <w:r>
              <w:rPr>
                <w:sz w:val="20"/>
              </w:rPr>
              <w:t>(Ni,Fe)S₂@Ti₃C₂</w:t>
            </w:r>
          </w:p>
        </w:tc>
        <w:tc>
          <w:tcPr>
            <w:tcW w:type="dxa" w:w="1984"/>
          </w:tcPr>
          <w:p>
            <w:r>
              <w:rPr>
                <w:sz w:val="20"/>
              </w:rPr>
              <w:t>镍铁硫化物</w:t>
            </w:r>
          </w:p>
        </w:tc>
        <w:tc>
          <w:tcPr>
            <w:tcW w:type="dxa" w:w="3402"/>
          </w:tcPr>
          <w:p>
            <w:r>
              <w:rPr>
                <w:sz w:val="20"/>
              </w:rPr>
              <w:t>achieves high OER activity (1.598 V@2 A cm⁻²)</w:t>
            </w:r>
          </w:p>
        </w:tc>
        <w:tc>
          <w:tcPr>
            <w:tcW w:type="dxa" w:w="850"/>
          </w:tcPr>
          <w:p>
            <w:r>
              <w:rPr>
                <w:sz w:val="20"/>
              </w:rPr>
              <w:t>0.99</w:t>
            </w:r>
          </w:p>
        </w:tc>
      </w:tr>
      <w:tr>
        <w:tc>
          <w:tcPr>
            <w:tcW w:type="dxa" w:w="1701"/>
          </w:tcPr>
          <w:p>
            <w:r>
              <w:rPr>
                <w:sz w:val="20"/>
              </w:rPr>
              <w:t>lattice oxygen mechanism</w:t>
            </w:r>
          </w:p>
        </w:tc>
        <w:tc>
          <w:tcPr>
            <w:tcW w:type="dxa" w:w="1984"/>
          </w:tcPr>
          <w:p>
            <w:r>
              <w:rPr>
                <w:sz w:val="20"/>
              </w:rPr>
              <w:t>晶格氧机制</w:t>
            </w:r>
          </w:p>
        </w:tc>
        <w:tc>
          <w:tcPr>
            <w:tcW w:type="dxa" w:w="3402"/>
          </w:tcPr>
          <w:p>
            <w:r>
              <w:rPr>
                <w:sz w:val="20"/>
              </w:rPr>
              <w:t>trigger lattice oxygen mechanism, improving the in...</w:t>
            </w:r>
          </w:p>
        </w:tc>
        <w:tc>
          <w:tcPr>
            <w:tcW w:type="dxa" w:w="850"/>
          </w:tcPr>
          <w:p>
            <w:r>
              <w:rPr>
                <w:sz w:val="20"/>
              </w:rPr>
              <w:t>0.92</w:t>
            </w:r>
          </w:p>
        </w:tc>
      </w:tr>
      <w:tr>
        <w:tc>
          <w:tcPr>
            <w:tcW w:type="dxa" w:w="1701"/>
          </w:tcPr>
          <w:p>
            <w:r>
              <w:rPr>
                <w:sz w:val="20"/>
              </w:rPr>
              <w:t>Ti-O-Fe bonding</w:t>
            </w:r>
          </w:p>
        </w:tc>
        <w:tc>
          <w:tcPr>
            <w:tcW w:type="dxa" w:w="1984"/>
          </w:tcPr>
          <w:p>
            <w:r>
              <w:rPr>
                <w:sz w:val="20"/>
              </w:rPr>
              <w:t>钛-氧-铁键</w:t>
            </w:r>
          </w:p>
        </w:tc>
        <w:tc>
          <w:tcPr>
            <w:tcW w:type="dxa" w:w="3402"/>
          </w:tcPr>
          <w:p>
            <w:r>
              <w:rPr>
                <w:sz w:val="20"/>
              </w:rPr>
              <w:t>prohibits the dissolution of Fe species via the Ti...</w:t>
            </w:r>
          </w:p>
        </w:tc>
        <w:tc>
          <w:tcPr>
            <w:tcW w:type="dxa" w:w="850"/>
          </w:tcPr>
          <w:p>
            <w:r>
              <w:rPr>
                <w:sz w:val="20"/>
              </w:rPr>
              <w:t>0.93</w:t>
            </w:r>
          </w:p>
        </w:tc>
      </w:tr>
    </w:tbl>
    <w:p/>
    <w:p>
      <w:r>
        <w:rPr>
          <w:b/>
        </w:rPr>
        <w:t xml:space="preserve">辅学科 [化学]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ionic liquid</w:t>
            </w:r>
          </w:p>
        </w:tc>
        <w:tc>
          <w:tcPr>
            <w:tcW w:type="dxa" w:w="2835"/>
          </w:tcPr>
          <w:p>
            <w:r>
              <w:rPr>
                <w:sz w:val="20"/>
              </w:rPr>
              <w:t>离子液体</w:t>
            </w:r>
          </w:p>
        </w:tc>
        <w:tc>
          <w:tcPr>
            <w:tcW w:type="dxa" w:w="1134"/>
          </w:tcPr>
          <w:p>
            <w:r>
              <w:rPr>
                <w:sz w:val="20"/>
              </w:rPr>
              <w:t>0.75</w:t>
            </w:r>
          </w:p>
        </w:tc>
      </w:tr>
      <w:tr>
        <w:tc>
          <w:tcPr>
            <w:tcW w:type="dxa" w:w="2268"/>
          </w:tcPr>
          <w:p>
            <w:r>
              <w:rPr>
                <w:sz w:val="20"/>
              </w:rPr>
              <w:t>sulfate radicals</w:t>
            </w:r>
          </w:p>
        </w:tc>
        <w:tc>
          <w:tcPr>
            <w:tcW w:type="dxa" w:w="2835"/>
          </w:tcPr>
          <w:p>
            <w:r>
              <w:rPr>
                <w:sz w:val="20"/>
              </w:rPr>
              <w:t>硫酸根自由基</w:t>
            </w:r>
          </w:p>
        </w:tc>
        <w:tc>
          <w:tcPr>
            <w:tcW w:type="dxa" w:w="1134"/>
          </w:tcPr>
          <w:p>
            <w:r>
              <w:rPr>
                <w:sz w:val="20"/>
              </w:rPr>
              <w:t>0.89</w:t>
            </w:r>
          </w:p>
        </w:tc>
      </w:tr>
      <w:tr>
        <w:tc>
          <w:tcPr>
            <w:tcW w:type="dxa" w:w="2268"/>
          </w:tcPr>
          <w:p>
            <w:r>
              <w:rPr>
                <w:sz w:val="20"/>
              </w:rPr>
              <w:t>reactive oxygen species</w:t>
            </w:r>
          </w:p>
        </w:tc>
        <w:tc>
          <w:tcPr>
            <w:tcW w:type="dxa" w:w="2835"/>
          </w:tcPr>
          <w:p>
            <w:r>
              <w:rPr>
                <w:sz w:val="20"/>
              </w:rPr>
              <w:t>活性氧物种</w:t>
            </w:r>
          </w:p>
        </w:tc>
        <w:tc>
          <w:tcPr>
            <w:tcW w:type="dxa" w:w="1134"/>
          </w:tcPr>
          <w:p>
            <w:r>
              <w:rPr>
                <w:sz w:val="20"/>
              </w:rPr>
              <w:t>0.87</w:t>
            </w:r>
          </w:p>
        </w:tc>
      </w:tr>
      <w:tr>
        <w:tc>
          <w:tcPr>
            <w:tcW w:type="dxa" w:w="2268"/>
          </w:tcPr>
          <w:p>
            <w:r>
              <w:rPr>
                <w:sz w:val="20"/>
              </w:rPr>
              <w:t>phase transition</w:t>
            </w:r>
          </w:p>
        </w:tc>
        <w:tc>
          <w:tcPr>
            <w:tcW w:type="dxa" w:w="2835"/>
          </w:tcPr>
          <w:p>
            <w:r>
              <w:rPr>
                <w:sz w:val="20"/>
              </w:rPr>
              <w:t>相变</w:t>
            </w:r>
          </w:p>
        </w:tc>
        <w:tc>
          <w:tcPr>
            <w:tcW w:type="dxa" w:w="1134"/>
          </w:tcPr>
          <w:p>
            <w:r>
              <w:rPr>
                <w:sz w:val="20"/>
              </w:rPr>
              <w:t>0.7</w:t>
            </w:r>
          </w:p>
        </w:tc>
      </w:tr>
    </w:tbl>
    <w:p/>
    <w:p>
      <w:r>
        <w:rPr>
          <w:b/>
        </w:rPr>
        <w:t xml:space="preserve">辅学科 [材料科学]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anion exchange membrane</w:t>
            </w:r>
          </w:p>
        </w:tc>
        <w:tc>
          <w:tcPr>
            <w:tcW w:type="dxa" w:w="2835"/>
          </w:tcPr>
          <w:p>
            <w:r>
              <w:rPr>
                <w:sz w:val="20"/>
              </w:rPr>
              <w:t>阴离子交换膜</w:t>
            </w:r>
          </w:p>
        </w:tc>
        <w:tc>
          <w:tcPr>
            <w:tcW w:type="dxa" w:w="1134"/>
          </w:tcPr>
          <w:p>
            <w:r>
              <w:rPr>
                <w:sz w:val="20"/>
              </w:rPr>
              <w:t>0.97</w:t>
            </w:r>
          </w:p>
        </w:tc>
      </w:tr>
      <w:tr>
        <w:tc>
          <w:tcPr>
            <w:tcW w:type="dxa" w:w="2268"/>
          </w:tcPr>
          <w:p>
            <w:r>
              <w:rPr>
                <w:sz w:val="20"/>
              </w:rPr>
              <w:t>gas diffusion layer</w:t>
            </w:r>
          </w:p>
        </w:tc>
        <w:tc>
          <w:tcPr>
            <w:tcW w:type="dxa" w:w="2835"/>
          </w:tcPr>
          <w:p>
            <w:r>
              <w:rPr>
                <w:sz w:val="20"/>
              </w:rPr>
              <w:t>气体扩散层</w:t>
            </w:r>
          </w:p>
        </w:tc>
        <w:tc>
          <w:tcPr>
            <w:tcW w:type="dxa" w:w="1134"/>
          </w:tcPr>
          <w:p>
            <w:r>
              <w:rPr>
                <w:sz w:val="20"/>
              </w:rPr>
              <w:t>0.92</w:t>
            </w:r>
          </w:p>
        </w:tc>
      </w:tr>
      <w:tr>
        <w:tc>
          <w:tcPr>
            <w:tcW w:type="dxa" w:w="2268"/>
          </w:tcPr>
          <w:p>
            <w:r>
              <w:rPr>
                <w:sz w:val="20"/>
              </w:rPr>
              <w:t>multilevel optimization</w:t>
            </w:r>
          </w:p>
        </w:tc>
        <w:tc>
          <w:tcPr>
            <w:tcW w:type="dxa" w:w="2835"/>
          </w:tcPr>
          <w:p>
            <w:r>
              <w:rPr>
                <w:sz w:val="20"/>
              </w:rPr>
              <w:t>多级优化</w:t>
            </w:r>
          </w:p>
        </w:tc>
        <w:tc>
          <w:tcPr>
            <w:tcW w:type="dxa" w:w="1134"/>
          </w:tcPr>
          <w:p>
            <w:r>
              <w:rPr>
                <w:sz w:val="20"/>
              </w:rPr>
              <w:t>0.88</w:t>
            </w:r>
          </w:p>
        </w:tc>
      </w:tr>
      <w:tr>
        <w:tc>
          <w:tcPr>
            <w:tcW w:type="dxa" w:w="2268"/>
          </w:tcPr>
          <w:p>
            <w:r>
              <w:rPr>
                <w:sz w:val="20"/>
              </w:rPr>
              <w:t>Raman spectra</w:t>
            </w:r>
          </w:p>
        </w:tc>
        <w:tc>
          <w:tcPr>
            <w:tcW w:type="dxa" w:w="2835"/>
          </w:tcPr>
          <w:p>
            <w:r>
              <w:rPr>
                <w:sz w:val="20"/>
              </w:rPr>
              <w:t>拉曼光谱</w:t>
            </w:r>
          </w:p>
        </w:tc>
        <w:tc>
          <w:tcPr>
            <w:tcW w:type="dxa" w:w="1134"/>
          </w:tcPr>
          <w:p>
            <w:r>
              <w:rPr>
                <w:sz w:val="20"/>
              </w:rPr>
              <w:t>0.93</w:t>
            </w:r>
          </w:p>
        </w:tc>
      </w:tr>
    </w:tbl>
    <w:p/>
    <w:p/>
    <w:p>
      <w:r>
        <w:br w:type="page"/>
      </w:r>
    </w:p>
    <w:p>
      <w:pPr>
        <w:pStyle w:val="Heading1"/>
      </w:pPr>
      <w:r>
        <w:t>四、Stage 2b：跨学科关系抽取</w:t>
      </w:r>
    </w:p>
    <w:p>
      <w:r>
        <w:t>基于抽取的概念，识别跨学科概念间的语义关系。系统支持 11 种标准关系类型（如 method_applied_to, improves_metric 等）。</w:t>
      </w:r>
    </w:p>
    <w:p>
      <w:pPr>
        <w:pStyle w:val="Heading2"/>
      </w:pPr>
      <w:r>
        <w:t>4.1 关系抽取样例（3篇）</w:t>
      </w:r>
    </w:p>
    <w:p>
      <w:pPr>
        <w:pStyle w:val="Heading3"/>
      </w:pPr>
      <w:r>
        <w:t>样例 1: Nano-island-encapsulated cobalt single-atom catalysts for breaking activity-stab...</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纳米岛封装</w:t>
            </w:r>
          </w:p>
        </w:tc>
        <w:tc>
          <w:tcPr>
            <w:tcW w:type="dxa" w:w="2268"/>
          </w:tcPr>
          <w:p>
            <w:r>
              <w:rPr>
                <w:sz w:val="20"/>
              </w:rPr>
              <w:t>通过纳米岛结构限制并稳定</w:t>
            </w:r>
          </w:p>
        </w:tc>
        <w:tc>
          <w:tcPr>
            <w:tcW w:type="dxa" w:w="1984"/>
          </w:tcPr>
          <w:p>
            <w:r>
              <w:rPr>
                <w:sz w:val="20"/>
              </w:rPr>
              <w:t>Co单原子</w:t>
            </w:r>
          </w:p>
        </w:tc>
        <w:tc>
          <w:tcPr>
            <w:tcW w:type="dxa" w:w="850"/>
          </w:tcPr>
          <w:p>
            <w:r>
              <w:rPr>
                <w:sz w:val="20"/>
              </w:rPr>
              <w:t>0.97</w:t>
            </w:r>
          </w:p>
        </w:tc>
      </w:tr>
      <w:tr>
        <w:tc>
          <w:tcPr>
            <w:tcW w:type="dxa" w:w="1984"/>
          </w:tcPr>
          <w:p>
            <w:r>
              <w:rPr>
                <w:sz w:val="20"/>
              </w:rPr>
              <w:t>活性-稳定性权衡</w:t>
            </w:r>
          </w:p>
        </w:tc>
        <w:tc>
          <w:tcPr>
            <w:tcW w:type="dxa" w:w="2268"/>
          </w:tcPr>
          <w:p>
            <w:r>
              <w:rPr>
                <w:sz w:val="20"/>
              </w:rPr>
              <w:t>制约其性能表现</w:t>
            </w:r>
          </w:p>
        </w:tc>
        <w:tc>
          <w:tcPr>
            <w:tcW w:type="dxa" w:w="1984"/>
          </w:tcPr>
          <w:p>
            <w:r>
              <w:rPr>
                <w:sz w:val="20"/>
              </w:rPr>
              <w:t>单原子催化剂</w:t>
            </w:r>
          </w:p>
        </w:tc>
        <w:tc>
          <w:tcPr>
            <w:tcW w:type="dxa" w:w="850"/>
          </w:tcPr>
          <w:p>
            <w:r>
              <w:rPr>
                <w:sz w:val="20"/>
              </w:rPr>
              <w:t>0.96</w:t>
            </w:r>
          </w:p>
        </w:tc>
      </w:tr>
      <w:tr>
        <w:tc>
          <w:tcPr>
            <w:tcW w:type="dxa" w:w="1984"/>
          </w:tcPr>
          <w:p>
            <w:r>
              <w:rPr>
                <w:sz w:val="20"/>
              </w:rPr>
              <w:t>PMS激活</w:t>
            </w:r>
          </w:p>
        </w:tc>
        <w:tc>
          <w:tcPr>
            <w:tcW w:type="dxa" w:w="2268"/>
          </w:tcPr>
          <w:p>
            <w:r>
              <w:rPr>
                <w:sz w:val="20"/>
              </w:rPr>
              <w:t>通过活化产生</w:t>
            </w:r>
          </w:p>
        </w:tc>
        <w:tc>
          <w:tcPr>
            <w:tcW w:type="dxa" w:w="1984"/>
          </w:tcPr>
          <w:p>
            <w:r>
              <w:rPr>
                <w:sz w:val="20"/>
              </w:rPr>
              <w:t>硫酸根自由基</w:t>
            </w:r>
          </w:p>
        </w:tc>
        <w:tc>
          <w:tcPr>
            <w:tcW w:type="dxa" w:w="850"/>
          </w:tcPr>
          <w:p>
            <w:r>
              <w:rPr>
                <w:sz w:val="20"/>
              </w:rPr>
              <w:t>0.98</w:t>
            </w:r>
          </w:p>
        </w:tc>
      </w:tr>
      <w:tr>
        <w:tc>
          <w:tcPr>
            <w:tcW w:type="dxa" w:w="1984"/>
          </w:tcPr>
          <w:p>
            <w:r>
              <w:rPr>
                <w:sz w:val="20"/>
              </w:rPr>
              <w:t>酸性条件</w:t>
            </w:r>
          </w:p>
        </w:tc>
        <w:tc>
          <w:tcPr>
            <w:tcW w:type="dxa" w:w="2268"/>
          </w:tcPr>
          <w:p>
            <w:r>
              <w:rPr>
                <w:sz w:val="20"/>
              </w:rPr>
              <w:t>加剧金属中心浸出</w:t>
            </w:r>
          </w:p>
        </w:tc>
        <w:tc>
          <w:tcPr>
            <w:tcW w:type="dxa" w:w="1984"/>
          </w:tcPr>
          <w:p>
            <w:r>
              <w:rPr>
                <w:sz w:val="20"/>
              </w:rPr>
              <w:t>活性位点浸出</w:t>
            </w:r>
          </w:p>
        </w:tc>
        <w:tc>
          <w:tcPr>
            <w:tcW w:type="dxa" w:w="850"/>
          </w:tcPr>
          <w:p>
            <w:r>
              <w:rPr>
                <w:sz w:val="20"/>
              </w:rPr>
              <w:t>0.94</w:t>
            </w:r>
          </w:p>
        </w:tc>
      </w:tr>
      <w:tr>
        <w:tc>
          <w:tcPr>
            <w:tcW w:type="dxa" w:w="1984"/>
          </w:tcPr>
          <w:p>
            <w:r>
              <w:rPr>
                <w:sz w:val="20"/>
              </w:rPr>
              <w:t>ZnO纳米颗粒</w:t>
            </w:r>
          </w:p>
        </w:tc>
        <w:tc>
          <w:tcPr>
            <w:tcW w:type="dxa" w:w="2268"/>
          </w:tcPr>
          <w:p>
            <w:r>
              <w:rPr>
                <w:sz w:val="20"/>
              </w:rPr>
              <w:t>作为纳米岛载体实现封装</w:t>
            </w:r>
          </w:p>
        </w:tc>
        <w:tc>
          <w:tcPr>
            <w:tcW w:type="dxa" w:w="1984"/>
          </w:tcPr>
          <w:p>
            <w:r>
              <w:rPr>
                <w:sz w:val="20"/>
              </w:rPr>
              <w:t>纳米岛封装</w:t>
            </w:r>
          </w:p>
        </w:tc>
        <w:tc>
          <w:tcPr>
            <w:tcW w:type="dxa" w:w="850"/>
          </w:tcPr>
          <w:p>
            <w:r>
              <w:rPr>
                <w:sz w:val="20"/>
              </w:rPr>
              <w:t>0.95</w:t>
            </w:r>
          </w:p>
        </w:tc>
      </w:tr>
    </w:tbl>
    <w:p/>
    <w:p>
      <w:r>
        <w:rPr>
          <w:b/>
        </w:rPr>
        <w:t xml:space="preserve">[化学] </w:t>
      </w:r>
      <w:r>
        <w:t>提供催化反应机理与活性评估框架</w:t>
      </w:r>
    </w:p>
    <w:p>
      <w:r>
        <w:rPr>
          <w:b/>
        </w:rPr>
        <w:t xml:space="preserve">[材料科学] </w:t>
      </w:r>
      <w:r>
        <w:t>构建催化剂空间限域结构与电子调控方案</w:t>
      </w:r>
    </w:p>
    <w:p>
      <w:r>
        <w:rPr>
          <w:b/>
        </w:rPr>
        <w:t xml:space="preserve">[环境科学技术] </w:t>
      </w:r>
      <w:r>
        <w:t>定义污染物处理效能的环境适用性边界</w:t>
      </w:r>
    </w:p>
    <w:p/>
    <w:p>
      <w:pPr>
        <w:pStyle w:val="Heading3"/>
      </w:pPr>
      <w:r>
        <w:t>样例 2: High-entropy alloy enables multi-path electron synergism and lattice oxygen acti...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high-entropy alloys (HEAs)</w:t>
            </w:r>
          </w:p>
        </w:tc>
        <w:tc>
          <w:tcPr>
            <w:tcW w:type="dxa" w:w="2268"/>
          </w:tcPr>
          <w:p>
            <w:r>
              <w:rPr>
                <w:sz w:val="20"/>
              </w:rPr>
              <w:t>通过多路径电子协同作用激活</w:t>
            </w:r>
          </w:p>
        </w:tc>
        <w:tc>
          <w:tcPr>
            <w:tcW w:type="dxa" w:w="1984"/>
          </w:tcPr>
          <w:p>
            <w:r>
              <w:rPr>
                <w:sz w:val="20"/>
              </w:rPr>
              <w:t>lattice oxygen activation mechanism (LOM)</w:t>
            </w:r>
          </w:p>
        </w:tc>
        <w:tc>
          <w:tcPr>
            <w:tcW w:type="dxa" w:w="850"/>
          </w:tcPr>
          <w:p>
            <w:r>
              <w:rPr>
                <w:sz w:val="20"/>
              </w:rPr>
              <w:t>0.98</w:t>
            </w:r>
          </w:p>
        </w:tc>
      </w:tr>
      <w:tr>
        <w:tc>
          <w:tcPr>
            <w:tcW w:type="dxa" w:w="1984"/>
          </w:tcPr>
          <w:p>
            <w:r>
              <w:rPr>
                <w:sz w:val="20"/>
              </w:rPr>
              <w:t>multi-path electron transfer</w:t>
            </w:r>
          </w:p>
        </w:tc>
        <w:tc>
          <w:tcPr>
            <w:tcW w:type="dxa" w:w="2268"/>
          </w:tcPr>
          <w:p>
            <w:r>
              <w:rPr>
                <w:sz w:val="20"/>
              </w:rPr>
              <w:t>增强金属离子的高氧化态</w:t>
            </w:r>
          </w:p>
        </w:tc>
        <w:tc>
          <w:tcPr>
            <w:tcW w:type="dxa" w:w="1984"/>
          </w:tcPr>
          <w:p>
            <w:r>
              <w:rPr>
                <w:sz w:val="20"/>
              </w:rPr>
              <w:t>high-valent oxidation</w:t>
            </w:r>
          </w:p>
        </w:tc>
        <w:tc>
          <w:tcPr>
            <w:tcW w:type="dxa" w:w="850"/>
          </w:tcPr>
          <w:p>
            <w:r>
              <w:rPr>
                <w:sz w:val="20"/>
              </w:rPr>
              <w:t>0.97</w:t>
            </w:r>
          </w:p>
        </w:tc>
      </w:tr>
      <w:tr>
        <w:tc>
          <w:tcPr>
            <w:tcW w:type="dxa" w:w="1984"/>
          </w:tcPr>
          <w:p>
            <w:r>
              <w:rPr>
                <w:sz w:val="20"/>
              </w:rPr>
              <w:t>NiFeCoCrW₀.₂ HEA</w:t>
            </w:r>
          </w:p>
        </w:tc>
        <w:tc>
          <w:tcPr>
            <w:tcW w:type="dxa" w:w="2268"/>
          </w:tcPr>
          <w:p>
            <w:r>
              <w:rPr>
                <w:sz w:val="20"/>
              </w:rPr>
              <w:t>在10 mA cm⁻²电流密度下实现220 mV过电位</w:t>
            </w:r>
          </w:p>
        </w:tc>
        <w:tc>
          <w:tcPr>
            <w:tcW w:type="dxa" w:w="1984"/>
          </w:tcPr>
          <w:p>
            <w:r>
              <w:rPr>
                <w:sz w:val="20"/>
              </w:rPr>
              <w:t>overpotential</w:t>
            </w:r>
          </w:p>
        </w:tc>
        <w:tc>
          <w:tcPr>
            <w:tcW w:type="dxa" w:w="850"/>
          </w:tcPr>
          <w:p>
            <w:r>
              <w:rPr>
                <w:sz w:val="20"/>
              </w:rPr>
              <w:t>0.97</w:t>
            </w:r>
          </w:p>
        </w:tc>
      </w:tr>
      <w:tr>
        <w:tc>
          <w:tcPr>
            <w:tcW w:type="dxa" w:w="1984"/>
          </w:tcPr>
          <w:p>
            <w:r>
              <w:rPr>
                <w:sz w:val="20"/>
              </w:rPr>
              <w:t>Raman spectroscopy</w:t>
            </w:r>
          </w:p>
        </w:tc>
        <w:tc>
          <w:tcPr>
            <w:tcW w:type="dxa" w:w="2268"/>
          </w:tcPr>
          <w:p>
            <w:r>
              <w:rPr>
                <w:sz w:val="20"/>
              </w:rPr>
              <w:t>检测到506 cm⁻¹处的Ni–O键A1g伸缩振动模式</w:t>
            </w:r>
          </w:p>
        </w:tc>
        <w:tc>
          <w:tcPr>
            <w:tcW w:type="dxa" w:w="1984"/>
          </w:tcPr>
          <w:p>
            <w:r>
              <w:rPr>
                <w:sz w:val="20"/>
              </w:rPr>
              <w:t>Ni–O bond</w:t>
            </w:r>
          </w:p>
        </w:tc>
        <w:tc>
          <w:tcPr>
            <w:tcW w:type="dxa" w:w="850"/>
          </w:tcPr>
          <w:p>
            <w:r>
              <w:rPr>
                <w:sz w:val="20"/>
              </w:rPr>
              <w:t>0.95</w:t>
            </w:r>
          </w:p>
        </w:tc>
      </w:tr>
      <w:tr>
        <w:tc>
          <w:tcPr>
            <w:tcW w:type="dxa" w:w="1984"/>
          </w:tcPr>
          <w:p>
            <w:r>
              <w:rPr>
                <w:sz w:val="20"/>
              </w:rPr>
              <w:t>TMA⁺ cations</w:t>
            </w:r>
          </w:p>
        </w:tc>
        <w:tc>
          <w:tcPr>
            <w:tcW w:type="dxa" w:w="2268"/>
          </w:tcPr>
          <w:p>
            <w:r>
              <w:rPr>
                <w:sz w:val="20"/>
              </w:rPr>
              <w:t>与含氧中间体存在强相互作用</w:t>
            </w:r>
          </w:p>
        </w:tc>
        <w:tc>
          <w:tcPr>
            <w:tcW w:type="dxa" w:w="1984"/>
          </w:tcPr>
          <w:p>
            <w:r>
              <w:rPr>
                <w:sz w:val="20"/>
              </w:rPr>
              <w:t>oxygen-containing intermediates (O₂⁻)</w:t>
            </w:r>
          </w:p>
        </w:tc>
        <w:tc>
          <w:tcPr>
            <w:tcW w:type="dxa" w:w="850"/>
          </w:tcPr>
          <w:p>
            <w:r>
              <w:rPr>
                <w:sz w:val="20"/>
              </w:rPr>
              <w:t>0.96</w:t>
            </w:r>
          </w:p>
        </w:tc>
      </w:tr>
    </w:tbl>
    <w:p/>
    <w:p>
      <w:r>
        <w:rPr>
          <w:b/>
        </w:rPr>
        <w:t xml:space="preserve">[化学] </w:t>
      </w:r>
      <w:r>
        <w:t>提供电解质环境与中间体相互作用分析，支撑电催化反应机理验证</w:t>
      </w:r>
    </w:p>
    <w:p>
      <w:r>
        <w:rPr>
          <w:b/>
        </w:rPr>
        <w:t xml:space="preserve">[材料科学] </w:t>
      </w:r>
      <w:r>
        <w:t>通过高熵合金设计与晶格调控实现催化剂结构优化和电子传递增强</w:t>
      </w:r>
    </w:p>
    <w:p/>
    <w:p>
      <w:pPr>
        <w:pStyle w:val="Heading3"/>
      </w:pPr>
      <w:r>
        <w:t>样例 3: MXene-Assisted NiFe sulfides for high-performance anion exchange membrane seawat...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MXene (Ti₃C₂)</w:t>
            </w:r>
          </w:p>
        </w:tc>
        <w:tc>
          <w:tcPr>
            <w:tcW w:type="dxa" w:w="2268"/>
          </w:tcPr>
          <w:p>
            <w:r>
              <w:rPr>
                <w:sz w:val="20"/>
              </w:rPr>
              <w:t>integrating MXene with NiFe sulfides forms a composite electrocatalyst</w:t>
            </w:r>
          </w:p>
        </w:tc>
        <w:tc>
          <w:tcPr>
            <w:tcW w:type="dxa" w:w="1984"/>
          </w:tcPr>
          <w:p>
            <w:r>
              <w:rPr>
                <w:sz w:val="20"/>
              </w:rPr>
              <w:t>(Ni,Fe)S₂@Ti₃C₂</w:t>
            </w:r>
          </w:p>
        </w:tc>
        <w:tc>
          <w:tcPr>
            <w:tcW w:type="dxa" w:w="850"/>
          </w:tcPr>
          <w:p>
            <w:r>
              <w:rPr>
                <w:sz w:val="20"/>
              </w:rPr>
              <w:t>0.99</w:t>
            </w:r>
          </w:p>
        </w:tc>
      </w:tr>
      <w:tr>
        <w:tc>
          <w:tcPr>
            <w:tcW w:type="dxa" w:w="1984"/>
          </w:tcPr>
          <w:p>
            <w:r>
              <w:rPr>
                <w:sz w:val="20"/>
              </w:rPr>
              <w:t>(Ni,Fe)S₂@Ti₃C₂</w:t>
            </w:r>
          </w:p>
        </w:tc>
        <w:tc>
          <w:tcPr>
            <w:tcW w:type="dxa" w:w="2268"/>
          </w:tcPr>
          <w:p>
            <w:r>
              <w:rPr>
                <w:sz w:val="20"/>
              </w:rPr>
              <w:t>triggers lattice oxygen mechanism through electron distribution</w:t>
            </w:r>
          </w:p>
        </w:tc>
        <w:tc>
          <w:tcPr>
            <w:tcW w:type="dxa" w:w="1984"/>
          </w:tcPr>
          <w:p>
            <w:r>
              <w:rPr>
                <w:sz w:val="20"/>
              </w:rPr>
              <w:t>lattice oxygen mechanism</w:t>
            </w:r>
          </w:p>
        </w:tc>
        <w:tc>
          <w:tcPr>
            <w:tcW w:type="dxa" w:w="850"/>
          </w:tcPr>
          <w:p>
            <w:r>
              <w:rPr>
                <w:sz w:val="20"/>
              </w:rPr>
              <w:t>0.92</w:t>
            </w:r>
          </w:p>
        </w:tc>
      </w:tr>
      <w:tr>
        <w:tc>
          <w:tcPr>
            <w:tcW w:type="dxa" w:w="1984"/>
          </w:tcPr>
          <w:p>
            <w:r>
              <w:rPr>
                <w:sz w:val="20"/>
              </w:rPr>
              <w:t>Ti-O-Fe bonding</w:t>
            </w:r>
          </w:p>
        </w:tc>
        <w:tc>
          <w:tcPr>
            <w:tcW w:type="dxa" w:w="2268"/>
          </w:tcPr>
          <w:p>
            <w:r>
              <w:rPr>
                <w:sz w:val="20"/>
              </w:rPr>
              <w:t>prohibits dissolution of Fe species during OER process</w:t>
            </w:r>
          </w:p>
        </w:tc>
        <w:tc>
          <w:tcPr>
            <w:tcW w:type="dxa" w:w="1984"/>
          </w:tcPr>
          <w:p>
            <w:r>
              <w:rPr>
                <w:sz w:val="20"/>
              </w:rPr>
              <w:t>Fe species dissolution</w:t>
            </w:r>
          </w:p>
        </w:tc>
        <w:tc>
          <w:tcPr>
            <w:tcW w:type="dxa" w:w="850"/>
          </w:tcPr>
          <w:p>
            <w:r>
              <w:rPr>
                <w:sz w:val="20"/>
              </w:rPr>
              <w:t>0.93</w:t>
            </w:r>
          </w:p>
        </w:tc>
      </w:tr>
      <w:tr>
        <w:tc>
          <w:tcPr>
            <w:tcW w:type="dxa" w:w="1984"/>
          </w:tcPr>
          <w:p>
            <w:r>
              <w:rPr>
                <w:sz w:val="20"/>
              </w:rPr>
              <w:t>Cl⁻ resistance</w:t>
            </w:r>
          </w:p>
        </w:tc>
        <w:tc>
          <w:tcPr>
            <w:tcW w:type="dxa" w:w="2268"/>
          </w:tcPr>
          <w:p>
            <w:r>
              <w:rPr>
                <w:sz w:val="20"/>
              </w:rPr>
              <w:t>good retention of sulfates provides effective Cl⁻ resistance</w:t>
            </w:r>
          </w:p>
        </w:tc>
        <w:tc>
          <w:tcPr>
            <w:tcW w:type="dxa" w:w="1984"/>
          </w:tcPr>
          <w:p>
            <w:r>
              <w:rPr>
                <w:sz w:val="20"/>
              </w:rPr>
              <w:t>sulfate radicals</w:t>
            </w:r>
          </w:p>
        </w:tc>
        <w:tc>
          <w:tcPr>
            <w:tcW w:type="dxa" w:w="850"/>
          </w:tcPr>
          <w:p>
            <w:r>
              <w:rPr>
                <w:sz w:val="20"/>
              </w:rPr>
              <w:t>0.94</w:t>
            </w:r>
          </w:p>
        </w:tc>
      </w:tr>
      <w:tr>
        <w:tc>
          <w:tcPr>
            <w:tcW w:type="dxa" w:w="1984"/>
          </w:tcPr>
          <w:p>
            <w:r>
              <w:rPr>
                <w:sz w:val="20"/>
              </w:rPr>
              <w:t>electrochemical impedance spectroscopy</w:t>
            </w:r>
          </w:p>
        </w:tc>
        <w:tc>
          <w:tcPr>
            <w:tcW w:type="dxa" w:w="2268"/>
          </w:tcPr>
          <w:p>
            <w:r>
              <w:rPr>
                <w:sz w:val="20"/>
              </w:rPr>
              <w:t>analyzes ohmic overvoltage through electrochemical impedance spectroscopy</w:t>
            </w:r>
          </w:p>
        </w:tc>
        <w:tc>
          <w:tcPr>
            <w:tcW w:type="dxa" w:w="1984"/>
          </w:tcPr>
          <w:p>
            <w:r>
              <w:rPr>
                <w:sz w:val="20"/>
              </w:rPr>
              <w:t>ohmic overvoltage</w:t>
            </w:r>
          </w:p>
        </w:tc>
        <w:tc>
          <w:tcPr>
            <w:tcW w:type="dxa" w:w="850"/>
          </w:tcPr>
          <w:p>
            <w:r>
              <w:rPr>
                <w:sz w:val="20"/>
              </w:rPr>
              <w:t>0.88</w:t>
            </w:r>
          </w:p>
        </w:tc>
      </w:tr>
    </w:tbl>
    <w:p/>
    <w:p>
      <w:r>
        <w:rPr>
          <w:b/>
        </w:rPr>
        <w:t xml:space="preserve">[化学] </w:t>
      </w:r>
      <w:r>
        <w:t>提供反应机制解析与稳定性调控策略，支撑电催化剂性能优化</w:t>
      </w:r>
    </w:p>
    <w:p>
      <w:r>
        <w:rPr>
          <w:b/>
        </w:rPr>
        <w:t xml:space="preserve">[材料科学] </w:t>
      </w:r>
      <w:r>
        <w:t>主导功能材料设计与表征技术开发，实现催化剂结构调控与性能验证</w:t>
      </w:r>
    </w:p>
    <w:p/>
    <w:p>
      <w:r>
        <w:br w:type="page"/>
      </w:r>
    </w:p>
    <w:p>
      <w:pPr>
        <w:pStyle w:val="Heading1"/>
      </w:pPr>
      <w:r>
        <w:t>五、Stage 2c：三级查询生成</w:t>
      </w:r>
    </w:p>
    <w:p>
      <w:r>
        <w:t>基于抽取的概念和关系，生成三级层次化查询：一级（宏观核心问题）→ 二级（按辅学科维度）→ 三级（细粒度操作问题）。</w:t>
      </w:r>
    </w:p>
    <w:p>
      <w:pPr>
        <w:pStyle w:val="Heading2"/>
      </w:pPr>
      <w:r>
        <w:t>5.1 查询生成样例（3篇）</w:t>
      </w:r>
    </w:p>
    <w:p>
      <w:pPr>
        <w:pStyle w:val="Heading3"/>
      </w:pPr>
      <w:r>
        <w:t>样例 1: Nano-island-encapsulated cobalt single-atom catalysts for breaking activity-stab...</w:t>
      </w:r>
    </w:p>
    <w:p>
      <w:r>
        <w:rPr>
          <w:b/>
        </w:rPr>
        <w:t xml:space="preserve">一级查询: </w:t>
      </w:r>
      <w:r>
        <w:t>类芬顿催化体系中如何突破过一硫酸盐活化效率与催化剂稳定性之间的相互制约？</w:t>
      </w:r>
    </w:p>
    <w:p>
      <w:r>
        <w:rPr>
          <w:b/>
        </w:rPr>
        <w:t xml:space="preserve">二级查询: </w:t>
      </w:r>
      <w:r/>
    </w:p>
    <w:p>
      <w:pPr>
        <w:pStyle w:val="ListBullet"/>
        <w:ind w:left="850"/>
      </w:pPr>
      <w:r>
        <w:t>纳米岛封装结构如何通过空间限域效应调控钴单原子的电子态分布？</w:t>
      </w:r>
    </w:p>
    <w:p>
      <w:pPr>
        <w:pStyle w:val="ListBullet"/>
        <w:ind w:left="850"/>
      </w:pPr>
      <w:r>
        <w:t>复杂水基质环境对硫酸根自由基主导的污染物降解路径产生何种影响？</w:t>
      </w:r>
    </w:p>
    <w:p>
      <w:r>
        <w:rPr>
          <w:b/>
        </w:rPr>
        <w:t xml:space="preserve">三级查询: </w:t>
      </w:r>
      <w:r/>
    </w:p>
    <w:p>
      <w:pPr>
        <w:pStyle w:val="ListBullet"/>
        <w:ind w:left="850"/>
      </w:pPr>
      <w:r>
        <w:t>基于纳米岛封装的单原子催化剂如何协同阴离子交换膜实现酸性条件下的抗金属浸出与持续过一硫酸盐活化？</w:t>
      </w:r>
    </w:p>
    <w:p>
      <w:pPr>
        <w:pStyle w:val="ListBullet"/>
        <w:ind w:left="850"/>
      </w:pPr>
      <w:r>
        <w:t>在复杂水基质中，纳米岛结构催化剂如何平衡析氢副反应抑制与持久性有机污染物的高效降解？</w:t>
      </w:r>
    </w:p>
    <w:p/>
    <w:p>
      <w:pPr>
        <w:pStyle w:val="Heading3"/>
      </w:pPr>
      <w:r>
        <w:t>样例 2: High-entropy alloy enables multi-path electron synergism and lattice oxygen acti...</w:t>
      </w:r>
    </w:p>
    <w:p>
      <w:r>
        <w:rPr>
          <w:b/>
        </w:rPr>
        <w:t xml:space="preserve">一级查询: </w:t>
      </w:r>
      <w:r>
        <w:t>电催化氧析出反应中晶格氧活化机制的电子转移协同效应如何影响过电位优化？</w:t>
      </w:r>
    </w:p>
    <w:p>
      <w:r>
        <w:rPr>
          <w:b/>
        </w:rPr>
        <w:t xml:space="preserve">二级查询: </w:t>
      </w:r>
      <w:r/>
    </w:p>
    <w:p>
      <w:pPr>
        <w:pStyle w:val="ListBullet"/>
        <w:ind w:left="850"/>
      </w:pPr>
      <w:r>
        <w:t>高熵合金通过多路径电子协同作用对晶格氧活化机制的影响机制</w:t>
      </w:r>
    </w:p>
    <w:p>
      <w:pPr>
        <w:pStyle w:val="ListBullet"/>
        <w:ind w:left="850"/>
      </w:pPr>
      <w:r>
        <w:t>四甲基铵阳离子与含氧中间体相互作用对电催化行为的调控效应</w:t>
      </w:r>
    </w:p>
    <w:p>
      <w:r>
        <w:rPr>
          <w:b/>
        </w:rPr>
        <w:t xml:space="preserve">三级查询: </w:t>
      </w:r>
      <w:r/>
    </w:p>
    <w:p>
      <w:pPr>
        <w:pStyle w:val="ListBullet"/>
        <w:ind w:left="850"/>
      </w:pPr>
      <w:r>
        <w:t>高熵合金的晶格应变如何协同多路径电子调控机制促进镍氧键伸缩振动模式演化</w:t>
      </w:r>
    </w:p>
    <w:p>
      <w:pPr>
        <w:pStyle w:val="ListBullet"/>
        <w:ind w:left="850"/>
      </w:pPr>
      <w:r>
        <w:t>结合高熵结构设计与拉曼光谱分析验证电催化路径中金属氧化态跃迁规律</w:t>
      </w:r>
    </w:p>
    <w:p/>
    <w:p>
      <w:pPr>
        <w:pStyle w:val="Heading3"/>
      </w:pPr>
      <w:r>
        <w:t>样例 3: MXene-Assisted NiFe sulfides for high-performance anion exchange membrane seawat...</w:t>
      </w:r>
    </w:p>
    <w:p>
      <w:r>
        <w:rPr>
          <w:b/>
        </w:rPr>
        <w:t xml:space="preserve">一级查询: </w:t>
      </w:r>
      <w:r>
        <w:t>如何通过调控催化剂电子结构与界面键合提升阴离子交换膜海水电解的析氧反应稳定性？</w:t>
      </w:r>
    </w:p>
    <w:p>
      <w:r>
        <w:rPr>
          <w:b/>
        </w:rPr>
        <w:t xml:space="preserve">二级查询: </w:t>
      </w:r>
      <w:r/>
    </w:p>
    <w:p>
      <w:pPr>
        <w:pStyle w:val="ListBullet"/>
        <w:ind w:left="850"/>
      </w:pPr>
      <w:r>
        <w:t>基于钛碳骨架复合材料的多级结构设计对电荷分离效率有何影响？</w:t>
      </w:r>
    </w:p>
    <w:p>
      <w:pPr>
        <w:pStyle w:val="ListBullet"/>
        <w:ind w:left="850"/>
      </w:pPr>
      <w:r>
        <w:t>晶格氧机制与钛氧铁键合如何协同增强催化剂抗氯离子毒化能力？</w:t>
      </w:r>
    </w:p>
    <w:p>
      <w:r>
        <w:rPr>
          <w:b/>
        </w:rPr>
        <w:t xml:space="preserve">三级查询: </w:t>
      </w:r>
      <w:r/>
    </w:p>
    <w:p>
      <w:pPr>
        <w:pStyle w:val="ListBullet"/>
        <w:ind w:left="850"/>
      </w:pPr>
      <w:r>
        <w:t>结合材料界面工程（钛碳基复合设计）与化学动力学分析（晶格氧活性物种监测），如何构建抗腐蚀协同催化体系？</w:t>
      </w:r>
    </w:p>
    <w:p>
      <w:pPr>
        <w:pStyle w:val="ListBullet"/>
        <w:ind w:left="850"/>
      </w:pPr>
      <w:r>
        <w:t>通过态密度投影表征与电化学阻抗谱联用，怎样验证多尺度优化对电子转移速率和稳定性的作用机制？</w:t>
      </w:r>
    </w:p>
    <w:p/>
    <w:p>
      <w:r>
        <w:br w:type="page"/>
      </w:r>
    </w:p>
    <w:p>
      <w:pPr>
        <w:pStyle w:val="Heading1"/>
      </w:pPr>
      <w:r>
        <w:t>六、Stage 2d：三级假设生成</w:t>
      </w:r>
    </w:p>
    <w:p>
      <w:r>
        <w:t>基于概念、关系和查询，生成三级结构化假设。每条假设为 3 步链式推理路径（head → relation → tail），附带总结。</w:t>
      </w:r>
    </w:p>
    <w:p>
      <w:pPr>
        <w:pStyle w:val="Heading2"/>
      </w:pPr>
      <w:r>
        <w:t>6.1 假设生成样例（3篇）</w:t>
      </w:r>
    </w:p>
    <w:p>
      <w:pPr>
        <w:pStyle w:val="Heading3"/>
      </w:pPr>
      <w:r>
        <w:t>样例 1: Nano-island-encapsulated cobalt single-atom catalysts for breaking activity-stab...</w:t>
      </w:r>
    </w:p>
    <w:p>
      <w:r>
        <w:rPr>
          <w:b/>
        </w:rPr>
        <w:t xml:space="preserve">一级假设 (3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类芬顿催化</w:t>
            </w:r>
          </w:p>
        </w:tc>
        <w:tc>
          <w:tcPr>
            <w:tcW w:type="dxa" w:w="2268"/>
          </w:tcPr>
          <w:p>
            <w:r>
              <w:rPr>
                <w:sz w:val="20"/>
              </w:rPr>
              <w:t>面临活性-稳定性权衡制约</w:t>
            </w:r>
          </w:p>
        </w:tc>
        <w:tc>
          <w:tcPr>
            <w:tcW w:type="dxa" w:w="2268"/>
          </w:tcPr>
          <w:p>
            <w:r>
              <w:rPr>
                <w:sz w:val="20"/>
              </w:rPr>
              <w:t>活性-稳定性权衡</w:t>
            </w:r>
          </w:p>
        </w:tc>
      </w:tr>
      <w:tr>
        <w:tc>
          <w:tcPr>
            <w:tcW w:type="dxa" w:w="850"/>
          </w:tcPr>
          <w:p>
            <w:r>
              <w:rPr>
                <w:sz w:val="20"/>
              </w:rPr>
              <w:t>2</w:t>
            </w:r>
          </w:p>
        </w:tc>
        <w:tc>
          <w:tcPr>
            <w:tcW w:type="dxa" w:w="2268"/>
          </w:tcPr>
          <w:p>
            <w:r>
              <w:rPr>
                <w:sz w:val="20"/>
              </w:rPr>
              <w:t>活性-稳定性权衡</w:t>
            </w:r>
          </w:p>
        </w:tc>
        <w:tc>
          <w:tcPr>
            <w:tcW w:type="dxa" w:w="2268"/>
          </w:tcPr>
          <w:p>
            <w:r>
              <w:rPr>
                <w:sz w:val="20"/>
              </w:rPr>
              <w:t>可通过纳米岛封装结构调控</w:t>
            </w:r>
          </w:p>
        </w:tc>
        <w:tc>
          <w:tcPr>
            <w:tcW w:type="dxa" w:w="2268"/>
          </w:tcPr>
          <w:p>
            <w:r>
              <w:rPr>
                <w:sz w:val="20"/>
              </w:rPr>
              <w:t>纳米岛封装</w:t>
            </w:r>
          </w:p>
        </w:tc>
      </w:tr>
      <w:tr>
        <w:tc>
          <w:tcPr>
            <w:tcW w:type="dxa" w:w="850"/>
          </w:tcPr>
          <w:p>
            <w:r>
              <w:rPr>
                <w:sz w:val="20"/>
              </w:rPr>
              <w:t>3</w:t>
            </w:r>
          </w:p>
        </w:tc>
        <w:tc>
          <w:tcPr>
            <w:tcW w:type="dxa" w:w="2268"/>
          </w:tcPr>
          <w:p>
            <w:r>
              <w:rPr>
                <w:sz w:val="20"/>
              </w:rPr>
              <w:t>纳米岛封装</w:t>
            </w:r>
          </w:p>
        </w:tc>
        <w:tc>
          <w:tcPr>
            <w:tcW w:type="dxa" w:w="2268"/>
          </w:tcPr>
          <w:p>
            <w:r>
              <w:rPr>
                <w:sz w:val="20"/>
              </w:rPr>
              <w:t>协同氧化锌纳米颗粒实现电子态调控</w:t>
            </w:r>
          </w:p>
        </w:tc>
        <w:tc>
          <w:tcPr>
            <w:tcW w:type="dxa" w:w="2268"/>
          </w:tcPr>
          <w:p>
            <w:r>
              <w:rPr>
                <w:sz w:val="20"/>
              </w:rPr>
              <w:t>钴单原子</w:t>
            </w:r>
          </w:p>
        </w:tc>
      </w:tr>
    </w:tbl>
    <w:p/>
    <w:p>
      <w:r>
        <w:rPr>
          <w:b/>
        </w:rPr>
        <w:t xml:space="preserve">一级总结: </w:t>
      </w:r>
      <w:r/>
    </w:p>
    <w:p>
      <w:pPr>
        <w:pStyle w:val="ListBullet"/>
        <w:ind w:left="850"/>
      </w:pPr>
      <w:r>
        <w:t>化学瓶颈：类芬顿催化活性-稳定性权衡 → 材料科学补位：纳米岛封装结构设计 → 预期改进：实现钴单原子电子态精确调控与稳定性增强</w:t>
      </w:r>
    </w:p>
    <w:p>
      <w:pPr>
        <w:pStyle w:val="ListBullet"/>
        <w:ind w:left="850"/>
      </w:pPr>
      <w:r>
        <w:t>化学瓶颈：酸性条件导致活性位点浸出 → 材料科学补位：纳米岛封装阻隔机制 → 预期改进：构建抗酸浸出且持续活化的催化界面</w:t>
      </w:r>
    </w:p>
    <w:p>
      <w:r>
        <w:rPr>
          <w:b/>
        </w:rPr>
        <w:t xml:space="preserve">二级假设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纳米岛封装</w:t>
            </w:r>
          </w:p>
        </w:tc>
        <w:tc>
          <w:tcPr>
            <w:tcW w:type="dxa" w:w="2268"/>
          </w:tcPr>
          <w:p>
            <w:r>
              <w:rPr>
                <w:sz w:val="20"/>
              </w:rPr>
              <w:t>通过纳米岛结构限制并稳定</w:t>
            </w:r>
          </w:p>
        </w:tc>
        <w:tc>
          <w:tcPr>
            <w:tcW w:type="dxa" w:w="2268"/>
          </w:tcPr>
          <w:p>
            <w:r>
              <w:rPr>
                <w:sz w:val="20"/>
              </w:rPr>
              <w:t>钴单原子</w:t>
            </w:r>
          </w:p>
        </w:tc>
      </w:tr>
      <w:tr>
        <w:tc>
          <w:tcPr>
            <w:tcW w:type="dxa" w:w="850"/>
          </w:tcPr>
          <w:p>
            <w:r>
              <w:rPr>
                <w:sz w:val="20"/>
              </w:rPr>
              <w:t>2</w:t>
            </w:r>
          </w:p>
        </w:tc>
        <w:tc>
          <w:tcPr>
            <w:tcW w:type="dxa" w:w="2268"/>
          </w:tcPr>
          <w:p>
            <w:r>
              <w:rPr>
                <w:sz w:val="20"/>
              </w:rPr>
              <w:t>钴单原子</w:t>
            </w:r>
          </w:p>
        </w:tc>
        <w:tc>
          <w:tcPr>
            <w:tcW w:type="dxa" w:w="2268"/>
          </w:tcPr>
          <w:p>
            <w:r>
              <w:rPr>
                <w:sz w:val="20"/>
              </w:rPr>
              <w:t>赋予高反应性的结构特征</w:t>
            </w:r>
          </w:p>
        </w:tc>
        <w:tc>
          <w:tcPr>
            <w:tcW w:type="dxa" w:w="2268"/>
          </w:tcPr>
          <w:p>
            <w:r>
              <w:rPr>
                <w:sz w:val="20"/>
              </w:rPr>
              <w:t>不饱和配位环境</w:t>
            </w:r>
          </w:p>
        </w:tc>
      </w:tr>
      <w:tr>
        <w:tc>
          <w:tcPr>
            <w:tcW w:type="dxa" w:w="850"/>
          </w:tcPr>
          <w:p>
            <w:r>
              <w:rPr>
                <w:sz w:val="20"/>
              </w:rPr>
              <w:t>3</w:t>
            </w:r>
          </w:p>
        </w:tc>
        <w:tc>
          <w:tcPr>
            <w:tcW w:type="dxa" w:w="2268"/>
          </w:tcPr>
          <w:p>
            <w:r>
              <w:rPr>
                <w:sz w:val="20"/>
              </w:rPr>
              <w:t>不饱和配位环境</w:t>
            </w:r>
          </w:p>
        </w:tc>
        <w:tc>
          <w:tcPr>
            <w:tcW w:type="dxa" w:w="2268"/>
          </w:tcPr>
          <w:p>
            <w:r>
              <w:rPr>
                <w:sz w:val="20"/>
              </w:rPr>
              <w:t>调控电子分布状态</w:t>
            </w:r>
          </w:p>
        </w:tc>
        <w:tc>
          <w:tcPr>
            <w:tcW w:type="dxa" w:w="2268"/>
          </w:tcPr>
          <w:p>
            <w:r>
              <w:rPr>
                <w:sz w:val="20"/>
              </w:rPr>
              <w:t>电子转移</w:t>
            </w:r>
          </w:p>
        </w:tc>
      </w:tr>
    </w:tbl>
    <w:p/>
    <w:p>
      <w:r>
        <w:rPr>
          <w:b/>
        </w:rPr>
        <w:t xml:space="preserve">二级总结: </w:t>
      </w:r>
      <w:r/>
    </w:p>
    <w:p>
      <w:pPr>
        <w:pStyle w:val="ListBullet"/>
        <w:ind w:left="850"/>
      </w:pPr>
      <w:r>
        <w:t>纳米岛封装通过限域效应调控钴单原子配位环境，优化电子转移效率以提升催化活性</w:t>
      </w:r>
    </w:p>
    <w:p>
      <w:pPr>
        <w:pStyle w:val="ListBullet"/>
        <w:ind w:left="850"/>
      </w:pPr>
      <w:r>
        <w:t>复杂水基质干扰硫酸根自由基生成路径，影响持久性有机污染物的降解稳定性</w:t>
      </w:r>
    </w:p>
    <w:p>
      <w:r>
        <w:rPr>
          <w:b/>
        </w:rPr>
        <w:t xml:space="preserve">三级假设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纳米岛封装</w:t>
            </w:r>
          </w:p>
        </w:tc>
        <w:tc>
          <w:tcPr>
            <w:tcW w:type="dxa" w:w="2268"/>
          </w:tcPr>
          <w:p>
            <w:r>
              <w:rPr>
                <w:sz w:val="20"/>
              </w:rPr>
              <w:t>通过纳米岛结构限制并稳定</w:t>
            </w:r>
          </w:p>
        </w:tc>
        <w:tc>
          <w:tcPr>
            <w:tcW w:type="dxa" w:w="2268"/>
          </w:tcPr>
          <w:p>
            <w:r>
              <w:rPr>
                <w:sz w:val="20"/>
              </w:rPr>
              <w:t>钴单原子</w:t>
            </w:r>
          </w:p>
        </w:tc>
      </w:tr>
      <w:tr>
        <w:tc>
          <w:tcPr>
            <w:tcW w:type="dxa" w:w="850"/>
          </w:tcPr>
          <w:p>
            <w:r>
              <w:rPr>
                <w:sz w:val="20"/>
              </w:rPr>
              <w:t>2</w:t>
            </w:r>
          </w:p>
        </w:tc>
        <w:tc>
          <w:tcPr>
            <w:tcW w:type="dxa" w:w="2268"/>
          </w:tcPr>
          <w:p>
            <w:r>
              <w:rPr>
                <w:sz w:val="20"/>
              </w:rPr>
              <w:t>钴单原子</w:t>
            </w:r>
          </w:p>
        </w:tc>
        <w:tc>
          <w:tcPr>
            <w:tcW w:type="dxa" w:w="2268"/>
          </w:tcPr>
          <w:p>
            <w:r>
              <w:rPr>
                <w:sz w:val="20"/>
              </w:rPr>
              <w:t>通过不饱和配位环境增强电子转移能力</w:t>
            </w:r>
          </w:p>
        </w:tc>
        <w:tc>
          <w:tcPr>
            <w:tcW w:type="dxa" w:w="2268"/>
          </w:tcPr>
          <w:p>
            <w:r>
              <w:rPr>
                <w:sz w:val="20"/>
              </w:rPr>
              <w:t>电子转移</w:t>
            </w:r>
          </w:p>
        </w:tc>
      </w:tr>
      <w:tr>
        <w:tc>
          <w:tcPr>
            <w:tcW w:type="dxa" w:w="850"/>
          </w:tcPr>
          <w:p>
            <w:r>
              <w:rPr>
                <w:sz w:val="20"/>
              </w:rPr>
              <w:t>3</w:t>
            </w:r>
          </w:p>
        </w:tc>
        <w:tc>
          <w:tcPr>
            <w:tcW w:type="dxa" w:w="2268"/>
          </w:tcPr>
          <w:p>
            <w:r>
              <w:rPr>
                <w:sz w:val="20"/>
              </w:rPr>
              <w:t>电子转移</w:t>
            </w:r>
          </w:p>
        </w:tc>
        <w:tc>
          <w:tcPr>
            <w:tcW w:type="dxa" w:w="2268"/>
          </w:tcPr>
          <w:p>
            <w:r>
              <w:rPr>
                <w:sz w:val="20"/>
              </w:rPr>
              <w:t>促进过一硫酸盐活化并抑制活性位点浸出</w:t>
            </w:r>
          </w:p>
        </w:tc>
        <w:tc>
          <w:tcPr>
            <w:tcW w:type="dxa" w:w="2268"/>
          </w:tcPr>
          <w:p>
            <w:r>
              <w:rPr>
                <w:sz w:val="20"/>
              </w:rPr>
              <w:t>过一硫酸盐</w:t>
            </w:r>
          </w:p>
        </w:tc>
      </w:tr>
    </w:tbl>
    <w:p/>
    <w:p>
      <w:r>
        <w:rPr>
          <w:b/>
        </w:rPr>
        <w:t xml:space="preserve">三级总结: </w:t>
      </w:r>
      <w:r/>
    </w:p>
    <w:p>
      <w:pPr>
        <w:pStyle w:val="ListBullet"/>
        <w:ind w:left="850"/>
      </w:pPr>
      <w:r>
        <w:t>纳米岛封装通过稳定钴单原子电子态，在酸性条件下维持过一硫酸盐活化效率并抑制金属浸出，实现活性-稳定性协同增强</w:t>
      </w:r>
    </w:p>
    <w:p>
      <w:pPr>
        <w:pStyle w:val="ListBullet"/>
        <w:ind w:left="850"/>
      </w:pPr>
      <w:r>
        <w:t>复杂水基质诱导的电荷分离效应通过调控氧空位分布抑制析氢副反应，同时保障持久性有机污染物的高效降解</w:t>
      </w:r>
    </w:p>
    <w:p/>
    <w:p>
      <w:pPr>
        <w:pStyle w:val="Heading3"/>
      </w:pPr>
      <w:r>
        <w:t>样例 2: High-entropy alloy enables multi-path electron synergism and lattice oxygen acti...</w:t>
      </w:r>
    </w:p>
    <w:p>
      <w:r>
        <w:rPr>
          <w:b/>
        </w:rPr>
        <w:t xml:space="preserve">一级假设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高熵合金</w:t>
            </w:r>
          </w:p>
        </w:tc>
        <w:tc>
          <w:tcPr>
            <w:tcW w:type="dxa" w:w="2268"/>
          </w:tcPr>
          <w:p>
            <w:r>
              <w:rPr>
                <w:sz w:val="20"/>
              </w:rPr>
              <w:t>通过多路径电子协同作用激活</w:t>
            </w:r>
          </w:p>
        </w:tc>
        <w:tc>
          <w:tcPr>
            <w:tcW w:type="dxa" w:w="2268"/>
          </w:tcPr>
          <w:p>
            <w:r>
              <w:rPr>
                <w:sz w:val="20"/>
              </w:rPr>
              <w:t>多路径电子转移</w:t>
            </w:r>
          </w:p>
        </w:tc>
      </w:tr>
      <w:tr>
        <w:tc>
          <w:tcPr>
            <w:tcW w:type="dxa" w:w="850"/>
          </w:tcPr>
          <w:p>
            <w:r>
              <w:rPr>
                <w:sz w:val="20"/>
              </w:rPr>
              <w:t>2</w:t>
            </w:r>
          </w:p>
        </w:tc>
        <w:tc>
          <w:tcPr>
            <w:tcW w:type="dxa" w:w="2268"/>
          </w:tcPr>
          <w:p>
            <w:r>
              <w:rPr>
                <w:sz w:val="20"/>
              </w:rPr>
              <w:t>多路径电子转移</w:t>
            </w:r>
          </w:p>
        </w:tc>
        <w:tc>
          <w:tcPr>
            <w:tcW w:type="dxa" w:w="2268"/>
          </w:tcPr>
          <w:p>
            <w:r>
              <w:rPr>
                <w:sz w:val="20"/>
              </w:rPr>
              <w:t>增强金属离子的高氧化态</w:t>
            </w:r>
          </w:p>
        </w:tc>
        <w:tc>
          <w:tcPr>
            <w:tcW w:type="dxa" w:w="2268"/>
          </w:tcPr>
          <w:p>
            <w:r>
              <w:rPr>
                <w:sz w:val="20"/>
              </w:rPr>
              <w:t>高氧化态</w:t>
            </w:r>
          </w:p>
        </w:tc>
      </w:tr>
      <w:tr>
        <w:tc>
          <w:tcPr>
            <w:tcW w:type="dxa" w:w="850"/>
          </w:tcPr>
          <w:p>
            <w:r>
              <w:rPr>
                <w:sz w:val="20"/>
              </w:rPr>
              <w:t>3</w:t>
            </w:r>
          </w:p>
        </w:tc>
        <w:tc>
          <w:tcPr>
            <w:tcW w:type="dxa" w:w="2268"/>
          </w:tcPr>
          <w:p>
            <w:r>
              <w:rPr>
                <w:sz w:val="20"/>
              </w:rPr>
              <w:t>高氧化态</w:t>
            </w:r>
          </w:p>
        </w:tc>
        <w:tc>
          <w:tcPr>
            <w:tcW w:type="dxa" w:w="2268"/>
          </w:tcPr>
          <w:p>
            <w:r>
              <w:rPr>
                <w:sz w:val="20"/>
              </w:rPr>
              <w:t>调控电催化路径降低反应能垒</w:t>
            </w:r>
          </w:p>
        </w:tc>
        <w:tc>
          <w:tcPr>
            <w:tcW w:type="dxa" w:w="2268"/>
          </w:tcPr>
          <w:p>
            <w:r>
              <w:rPr>
                <w:sz w:val="20"/>
              </w:rPr>
              <w:t>过电位</w:t>
            </w:r>
          </w:p>
        </w:tc>
      </w:tr>
    </w:tbl>
    <w:p/>
    <w:p>
      <w:r>
        <w:rPr>
          <w:b/>
        </w:rPr>
        <w:t xml:space="preserve">一级总结: </w:t>
      </w:r>
      <w:r/>
    </w:p>
    <w:p>
      <w:pPr>
        <w:pStyle w:val="ListBullet"/>
        <w:ind w:left="850"/>
      </w:pPr>
      <w:r>
        <w:t>主学科瓶颈：多路径电子转移机制不明确，需材料科学补位设计高熵合金结构以调控电子传递路径，预期提升晶格氧活化效率</w:t>
      </w:r>
    </w:p>
    <w:p>
      <w:pPr>
        <w:pStyle w:val="ListBullet"/>
        <w:ind w:left="850"/>
      </w:pPr>
      <w:r>
        <w:t>主学科瓶颈：晶格氧活化中间体稳定性不足，需化学学科补位优化μ-过氧化物形成能垒，预期降低氧析出反应过电位</w:t>
      </w:r>
    </w:p>
    <w:p>
      <w:r>
        <w:rPr>
          <w:b/>
        </w:rPr>
        <w:t xml:space="preserve">二级假设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高熵合金</w:t>
            </w:r>
          </w:p>
        </w:tc>
        <w:tc>
          <w:tcPr>
            <w:tcW w:type="dxa" w:w="2268"/>
          </w:tcPr>
          <w:p>
            <w:r>
              <w:rPr>
                <w:sz w:val="20"/>
              </w:rPr>
              <w:t>通过多路径电子协同作用激活</w:t>
            </w:r>
          </w:p>
        </w:tc>
        <w:tc>
          <w:tcPr>
            <w:tcW w:type="dxa" w:w="2268"/>
          </w:tcPr>
          <w:p>
            <w:r>
              <w:rPr>
                <w:sz w:val="20"/>
              </w:rPr>
              <w:t>多路径电子转移</w:t>
            </w:r>
          </w:p>
        </w:tc>
      </w:tr>
      <w:tr>
        <w:tc>
          <w:tcPr>
            <w:tcW w:type="dxa" w:w="850"/>
          </w:tcPr>
          <w:p>
            <w:r>
              <w:rPr>
                <w:sz w:val="20"/>
              </w:rPr>
              <w:t>2</w:t>
            </w:r>
          </w:p>
        </w:tc>
        <w:tc>
          <w:tcPr>
            <w:tcW w:type="dxa" w:w="2268"/>
          </w:tcPr>
          <w:p>
            <w:r>
              <w:rPr>
                <w:sz w:val="20"/>
              </w:rPr>
              <w:t>多路径电子转移</w:t>
            </w:r>
          </w:p>
        </w:tc>
        <w:tc>
          <w:tcPr>
            <w:tcW w:type="dxa" w:w="2268"/>
          </w:tcPr>
          <w:p>
            <w:r>
              <w:rPr>
                <w:sz w:val="20"/>
              </w:rPr>
              <w:t>增强金属离子的高氧化态</w:t>
            </w:r>
          </w:p>
        </w:tc>
        <w:tc>
          <w:tcPr>
            <w:tcW w:type="dxa" w:w="2268"/>
          </w:tcPr>
          <w:p>
            <w:r>
              <w:rPr>
                <w:sz w:val="20"/>
              </w:rPr>
              <w:t>高氧化态</w:t>
            </w:r>
          </w:p>
        </w:tc>
      </w:tr>
      <w:tr>
        <w:tc>
          <w:tcPr>
            <w:tcW w:type="dxa" w:w="850"/>
          </w:tcPr>
          <w:p>
            <w:r>
              <w:rPr>
                <w:sz w:val="20"/>
              </w:rPr>
              <w:t>3</w:t>
            </w:r>
          </w:p>
        </w:tc>
        <w:tc>
          <w:tcPr>
            <w:tcW w:type="dxa" w:w="2268"/>
          </w:tcPr>
          <w:p>
            <w:r>
              <w:rPr>
                <w:sz w:val="20"/>
              </w:rPr>
              <w:t>高氧化态</w:t>
            </w:r>
          </w:p>
        </w:tc>
        <w:tc>
          <w:tcPr>
            <w:tcW w:type="dxa" w:w="2268"/>
          </w:tcPr>
          <w:p>
            <w:r>
              <w:rPr>
                <w:sz w:val="20"/>
              </w:rPr>
              <w:t>降低电催化氧析出反应过电位</w:t>
            </w:r>
          </w:p>
        </w:tc>
        <w:tc>
          <w:tcPr>
            <w:tcW w:type="dxa" w:w="2268"/>
          </w:tcPr>
          <w:p>
            <w:r>
              <w:rPr>
                <w:sz w:val="20"/>
              </w:rPr>
              <w:t>过电位</w:t>
            </w:r>
          </w:p>
        </w:tc>
      </w:tr>
    </w:tbl>
    <w:p/>
    <w:p>
      <w:r>
        <w:rPr>
          <w:b/>
        </w:rPr>
        <w:t xml:space="preserve">二级总结: </w:t>
      </w:r>
      <w:r/>
    </w:p>
    <w:p>
      <w:pPr>
        <w:pStyle w:val="ListBullet"/>
        <w:ind w:left="850"/>
      </w:pPr>
      <w:r>
        <w:t>高熵合金通过多路径电子转移增强金属氧化态，从而降低过电位</w:t>
      </w:r>
    </w:p>
    <w:p>
      <w:pPr>
        <w:pStyle w:val="ListBullet"/>
        <w:ind w:left="850"/>
      </w:pPr>
      <w:r>
        <w:t>四甲基铵阳离子通过稳定含氧中间体促进多路径电子调控，优化电催化性能</w:t>
      </w:r>
    </w:p>
    <w:p>
      <w:r>
        <w:rPr>
          <w:b/>
        </w:rPr>
        <w:t xml:space="preserve">三级假设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高熵合金</w:t>
            </w:r>
          </w:p>
        </w:tc>
        <w:tc>
          <w:tcPr>
            <w:tcW w:type="dxa" w:w="2268"/>
          </w:tcPr>
          <w:p>
            <w:r>
              <w:rPr>
                <w:sz w:val="20"/>
              </w:rPr>
              <w:t>通过多路径电子调控机制促进晶格应变</w:t>
            </w:r>
          </w:p>
        </w:tc>
        <w:tc>
          <w:tcPr>
            <w:tcW w:type="dxa" w:w="2268"/>
          </w:tcPr>
          <w:p>
            <w:r>
              <w:rPr>
                <w:sz w:val="20"/>
              </w:rPr>
              <w:t>多路径电子调控</w:t>
            </w:r>
          </w:p>
        </w:tc>
      </w:tr>
      <w:tr>
        <w:tc>
          <w:tcPr>
            <w:tcW w:type="dxa" w:w="850"/>
          </w:tcPr>
          <w:p>
            <w:r>
              <w:rPr>
                <w:sz w:val="20"/>
              </w:rPr>
              <w:t>2</w:t>
            </w:r>
          </w:p>
        </w:tc>
        <w:tc>
          <w:tcPr>
            <w:tcW w:type="dxa" w:w="2268"/>
          </w:tcPr>
          <w:p>
            <w:r>
              <w:rPr>
                <w:sz w:val="20"/>
              </w:rPr>
              <w:t>多路径电子调控</w:t>
            </w:r>
          </w:p>
        </w:tc>
        <w:tc>
          <w:tcPr>
            <w:tcW w:type="dxa" w:w="2268"/>
          </w:tcPr>
          <w:p>
            <w:r>
              <w:rPr>
                <w:sz w:val="20"/>
              </w:rPr>
              <w:t>调控金属氧化态跃迁规律</w:t>
            </w:r>
          </w:p>
        </w:tc>
        <w:tc>
          <w:tcPr>
            <w:tcW w:type="dxa" w:w="2268"/>
          </w:tcPr>
          <w:p>
            <w:r>
              <w:rPr>
                <w:sz w:val="20"/>
              </w:rPr>
              <w:t>高氧化态</w:t>
            </w:r>
          </w:p>
        </w:tc>
      </w:tr>
      <w:tr>
        <w:tc>
          <w:tcPr>
            <w:tcW w:type="dxa" w:w="850"/>
          </w:tcPr>
          <w:p>
            <w:r>
              <w:rPr>
                <w:sz w:val="20"/>
              </w:rPr>
              <w:t>3</w:t>
            </w:r>
          </w:p>
        </w:tc>
        <w:tc>
          <w:tcPr>
            <w:tcW w:type="dxa" w:w="2268"/>
          </w:tcPr>
          <w:p>
            <w:r>
              <w:rPr>
                <w:sz w:val="20"/>
              </w:rPr>
              <w:t>高氧化态</w:t>
            </w:r>
          </w:p>
        </w:tc>
        <w:tc>
          <w:tcPr>
            <w:tcW w:type="dxa" w:w="2268"/>
          </w:tcPr>
          <w:p>
            <w:r>
              <w:rPr>
                <w:sz w:val="20"/>
              </w:rPr>
              <w:t>影响键的伸缩振动模式演化</w:t>
            </w:r>
          </w:p>
        </w:tc>
        <w:tc>
          <w:tcPr>
            <w:tcW w:type="dxa" w:w="2268"/>
          </w:tcPr>
          <w:p>
            <w:r>
              <w:rPr>
                <w:sz w:val="20"/>
              </w:rPr>
              <w:t>伸缩振动模式</w:t>
            </w:r>
          </w:p>
        </w:tc>
      </w:tr>
    </w:tbl>
    <w:p/>
    <w:p>
      <w:r>
        <w:rPr>
          <w:b/>
        </w:rPr>
        <w:t xml:space="preserve">三级总结: </w:t>
      </w:r>
      <w:r/>
    </w:p>
    <w:p>
      <w:pPr>
        <w:pStyle w:val="ListBullet"/>
        <w:ind w:left="850"/>
      </w:pPr>
      <w:r>
        <w:t>高熵合金通过多路径电子调控引发晶格应变，驱动金属氧化态跃迁，最终通过键的伸缩振动模式演化实现性能优化</w:t>
      </w:r>
    </w:p>
    <w:p>
      <w:pPr>
        <w:pStyle w:val="ListBullet"/>
        <w:ind w:left="850"/>
      </w:pPr>
      <w:r>
        <w:t>高熵结构设计调控电催化路径，引发金属氧化态跃迁，结合拉曼光谱验证振动模式变化，形成电催化机制的闭环验证</w:t>
      </w:r>
    </w:p>
    <w:p/>
    <w:p>
      <w:pPr>
        <w:pStyle w:val="Heading3"/>
      </w:pPr>
      <w:r>
        <w:t>样例 3: MXene-Assisted NiFe sulfides for high-performance anion exchange membrane seawat...</w:t>
      </w:r>
    </w:p>
    <w:p>
      <w:r>
        <w:rPr>
          <w:b/>
        </w:rPr>
        <w:t xml:space="preserve">一级假设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析氧反应电催化剂</w:t>
            </w:r>
          </w:p>
        </w:tc>
        <w:tc>
          <w:tcPr>
            <w:tcW w:type="dxa" w:w="2268"/>
          </w:tcPr>
          <w:p>
            <w:r>
              <w:rPr>
                <w:sz w:val="20"/>
              </w:rPr>
              <w:t>可通过镍铁硫化物与碳化钛复合设计增强电子转移能力</w:t>
            </w:r>
          </w:p>
        </w:tc>
        <w:tc>
          <w:tcPr>
            <w:tcW w:type="dxa" w:w="2268"/>
          </w:tcPr>
          <w:p>
            <w:r>
              <w:rPr>
                <w:sz w:val="20"/>
              </w:rPr>
              <w:t>电子转移</w:t>
            </w:r>
          </w:p>
        </w:tc>
      </w:tr>
      <w:tr>
        <w:tc>
          <w:tcPr>
            <w:tcW w:type="dxa" w:w="850"/>
          </w:tcPr>
          <w:p>
            <w:r>
              <w:rPr>
                <w:sz w:val="20"/>
              </w:rPr>
              <w:t>2</w:t>
            </w:r>
          </w:p>
        </w:tc>
        <w:tc>
          <w:tcPr>
            <w:tcW w:type="dxa" w:w="2268"/>
          </w:tcPr>
          <w:p>
            <w:r>
              <w:rPr>
                <w:sz w:val="20"/>
              </w:rPr>
              <w:t>电子转移</w:t>
            </w:r>
          </w:p>
        </w:tc>
        <w:tc>
          <w:tcPr>
            <w:tcW w:type="dxa" w:w="2268"/>
          </w:tcPr>
          <w:p>
            <w:r>
              <w:rPr>
                <w:sz w:val="20"/>
              </w:rPr>
              <w:t>促进态密度投影显示的电荷分离过程</w:t>
            </w:r>
          </w:p>
        </w:tc>
        <w:tc>
          <w:tcPr>
            <w:tcW w:type="dxa" w:w="2268"/>
          </w:tcPr>
          <w:p>
            <w:r>
              <w:rPr>
                <w:sz w:val="20"/>
              </w:rPr>
              <w:t>电荷分离</w:t>
            </w:r>
          </w:p>
        </w:tc>
      </w:tr>
      <w:tr>
        <w:tc>
          <w:tcPr>
            <w:tcW w:type="dxa" w:w="850"/>
          </w:tcPr>
          <w:p>
            <w:r>
              <w:rPr>
                <w:sz w:val="20"/>
              </w:rPr>
              <w:t>3</w:t>
            </w:r>
          </w:p>
        </w:tc>
        <w:tc>
          <w:tcPr>
            <w:tcW w:type="dxa" w:w="2268"/>
          </w:tcPr>
          <w:p>
            <w:r>
              <w:rPr>
                <w:sz w:val="20"/>
              </w:rPr>
              <w:t>电荷分离</w:t>
            </w:r>
          </w:p>
        </w:tc>
        <w:tc>
          <w:tcPr>
            <w:tcW w:type="dxa" w:w="2268"/>
          </w:tcPr>
          <w:p>
            <w:r>
              <w:rPr>
                <w:sz w:val="20"/>
              </w:rPr>
              <w:t>需结合材料科学多级优化实现工业电流密度下的稳定性突破</w:t>
            </w:r>
          </w:p>
        </w:tc>
        <w:tc>
          <w:tcPr>
            <w:tcW w:type="dxa" w:w="2268"/>
          </w:tcPr>
          <w:p>
            <w:r>
              <w:rPr>
                <w:sz w:val="20"/>
              </w:rPr>
              <w:t>工业电流密度</w:t>
            </w:r>
          </w:p>
        </w:tc>
      </w:tr>
    </w:tbl>
    <w:p/>
    <w:p>
      <w:r>
        <w:rPr>
          <w:b/>
        </w:rPr>
        <w:t xml:space="preserve">一级总结: </w:t>
      </w:r>
      <w:r/>
    </w:p>
    <w:p>
      <w:pPr>
        <w:pStyle w:val="ListBullet"/>
        <w:ind w:left="850"/>
      </w:pPr>
      <w:r>
        <w:t>提升析氧反应电催化剂稳定性需材料科学多级优化协同增强电子转移与电荷分离</w:t>
      </w:r>
    </w:p>
    <w:p>
      <w:pPr>
        <w:pStyle w:val="ListBullet"/>
        <w:ind w:left="850"/>
      </w:pPr>
      <w:r>
        <w:t>通过钛-氧-铁键合调控晶格氧机制并结合阴离子交换膜优化可构建抗氯离子毒化体系</w:t>
      </w:r>
    </w:p>
    <w:p>
      <w:r>
        <w:rPr>
          <w:b/>
        </w:rPr>
        <w:t xml:space="preserve">二级假设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多级优化</w:t>
            </w:r>
          </w:p>
        </w:tc>
        <w:tc>
          <w:tcPr>
            <w:tcW w:type="dxa" w:w="2268"/>
          </w:tcPr>
          <w:p>
            <w:r>
              <w:rPr>
                <w:sz w:val="20"/>
              </w:rPr>
              <w:t>调控材料层级结构以优化电子分布</w:t>
            </w:r>
          </w:p>
        </w:tc>
        <w:tc>
          <w:tcPr>
            <w:tcW w:type="dxa" w:w="2268"/>
          </w:tcPr>
          <w:p>
            <w:r>
              <w:rPr>
                <w:sz w:val="20"/>
              </w:rPr>
              <w:t>碳化钛</w:t>
            </w:r>
          </w:p>
        </w:tc>
      </w:tr>
      <w:tr>
        <w:tc>
          <w:tcPr>
            <w:tcW w:type="dxa" w:w="850"/>
          </w:tcPr>
          <w:p>
            <w:r>
              <w:rPr>
                <w:sz w:val="20"/>
              </w:rPr>
              <w:t>2</w:t>
            </w:r>
          </w:p>
        </w:tc>
        <w:tc>
          <w:tcPr>
            <w:tcW w:type="dxa" w:w="2268"/>
          </w:tcPr>
          <w:p>
            <w:r>
              <w:rPr>
                <w:sz w:val="20"/>
              </w:rPr>
              <w:t>碳化钛</w:t>
            </w:r>
          </w:p>
        </w:tc>
        <w:tc>
          <w:tcPr>
            <w:tcW w:type="dxa" w:w="2268"/>
          </w:tcPr>
          <w:p>
            <w:r>
              <w:rPr>
                <w:sz w:val="20"/>
              </w:rPr>
              <w:t>与硫化物复合增强电子导通性</w:t>
            </w:r>
          </w:p>
        </w:tc>
        <w:tc>
          <w:tcPr>
            <w:tcW w:type="dxa" w:w="2268"/>
          </w:tcPr>
          <w:p>
            <w:r>
              <w:rPr>
                <w:sz w:val="20"/>
              </w:rPr>
              <w:t>镍铁硫化物</w:t>
            </w:r>
          </w:p>
        </w:tc>
      </w:tr>
      <w:tr>
        <w:tc>
          <w:tcPr>
            <w:tcW w:type="dxa" w:w="850"/>
          </w:tcPr>
          <w:p>
            <w:r>
              <w:rPr>
                <w:sz w:val="20"/>
              </w:rPr>
              <w:t>3</w:t>
            </w:r>
          </w:p>
        </w:tc>
        <w:tc>
          <w:tcPr>
            <w:tcW w:type="dxa" w:w="2268"/>
          </w:tcPr>
          <w:p>
            <w:r>
              <w:rPr>
                <w:sz w:val="20"/>
              </w:rPr>
              <w:t>镍铁硫化物</w:t>
            </w:r>
          </w:p>
        </w:tc>
        <w:tc>
          <w:tcPr>
            <w:tcW w:type="dxa" w:w="2268"/>
          </w:tcPr>
          <w:p>
            <w:r>
              <w:rPr>
                <w:sz w:val="20"/>
              </w:rPr>
              <w:t>通过界面电荷重分布提升分离效率</w:t>
            </w:r>
          </w:p>
        </w:tc>
        <w:tc>
          <w:tcPr>
            <w:tcW w:type="dxa" w:w="2268"/>
          </w:tcPr>
          <w:p>
            <w:r>
              <w:rPr>
                <w:sz w:val="20"/>
              </w:rPr>
              <w:t>电荷分离</w:t>
            </w:r>
          </w:p>
        </w:tc>
      </w:tr>
    </w:tbl>
    <w:p/>
    <w:p>
      <w:r>
        <w:rPr>
          <w:b/>
        </w:rPr>
        <w:t xml:space="preserve">二级总结: </w:t>
      </w:r>
      <w:r/>
    </w:p>
    <w:p>
      <w:pPr>
        <w:pStyle w:val="ListBullet"/>
        <w:ind w:left="850"/>
      </w:pPr>
      <w:r>
        <w:t>材料科学的多级优化策略通过调控碳化钛/镍铁硫化物界面，构建高效电子传输通道以提升电荷分离效率</w:t>
      </w:r>
    </w:p>
    <w:p>
      <w:pPr>
        <w:pStyle w:val="ListBullet"/>
        <w:ind w:left="850"/>
      </w:pPr>
      <w:r>
        <w:t>化学中的晶格氧机制激活活性氧物种，协同钛-氧-铁键增强界面稳定性，从而提高抗氯离子毒化能力</w:t>
      </w:r>
    </w:p>
    <w:p>
      <w:r>
        <w:rPr>
          <w:b/>
        </w:rPr>
        <w:t xml:space="preserve">三级假设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碳化钛</w:t>
            </w:r>
          </w:p>
        </w:tc>
        <w:tc>
          <w:tcPr>
            <w:tcW w:type="dxa" w:w="2268"/>
          </w:tcPr>
          <w:p>
            <w:r>
              <w:rPr>
                <w:sz w:val="20"/>
              </w:rPr>
              <w:t>集成形成复合电催化剂</w:t>
            </w:r>
          </w:p>
        </w:tc>
        <w:tc>
          <w:tcPr>
            <w:tcW w:type="dxa" w:w="2268"/>
          </w:tcPr>
          <w:p>
            <w:r>
              <w:rPr>
                <w:sz w:val="20"/>
              </w:rPr>
              <w:t>镍铁硫化物</w:t>
            </w:r>
          </w:p>
        </w:tc>
      </w:tr>
      <w:tr>
        <w:tc>
          <w:tcPr>
            <w:tcW w:type="dxa" w:w="850"/>
          </w:tcPr>
          <w:p>
            <w:r>
              <w:rPr>
                <w:sz w:val="20"/>
              </w:rPr>
              <w:t>2</w:t>
            </w:r>
          </w:p>
        </w:tc>
        <w:tc>
          <w:tcPr>
            <w:tcW w:type="dxa" w:w="2268"/>
          </w:tcPr>
          <w:p>
            <w:r>
              <w:rPr>
                <w:sz w:val="20"/>
              </w:rPr>
              <w:t>镍铁硫化物</w:t>
            </w:r>
          </w:p>
        </w:tc>
        <w:tc>
          <w:tcPr>
            <w:tcW w:type="dxa" w:w="2268"/>
          </w:tcPr>
          <w:p>
            <w:r>
              <w:rPr>
                <w:sz w:val="20"/>
              </w:rPr>
              <w:t>触发晶格氧机制活化反应位点</w:t>
            </w:r>
          </w:p>
        </w:tc>
        <w:tc>
          <w:tcPr>
            <w:tcW w:type="dxa" w:w="2268"/>
          </w:tcPr>
          <w:p>
            <w:r>
              <w:rPr>
                <w:sz w:val="20"/>
              </w:rPr>
              <w:t>晶格氧机制</w:t>
            </w:r>
          </w:p>
        </w:tc>
      </w:tr>
      <w:tr>
        <w:tc>
          <w:tcPr>
            <w:tcW w:type="dxa" w:w="850"/>
          </w:tcPr>
          <w:p>
            <w:r>
              <w:rPr>
                <w:sz w:val="20"/>
              </w:rPr>
              <w:t>3</w:t>
            </w:r>
          </w:p>
        </w:tc>
        <w:tc>
          <w:tcPr>
            <w:tcW w:type="dxa" w:w="2268"/>
          </w:tcPr>
          <w:p>
            <w:r>
              <w:rPr>
                <w:sz w:val="20"/>
              </w:rPr>
              <w:t>晶格氧机制</w:t>
            </w:r>
          </w:p>
        </w:tc>
        <w:tc>
          <w:tcPr>
            <w:tcW w:type="dxa" w:w="2268"/>
          </w:tcPr>
          <w:p>
            <w:r>
              <w:rPr>
                <w:sz w:val="20"/>
              </w:rPr>
              <w:t>通过氧空位调控抑制氯氧化副反应</w:t>
            </w:r>
          </w:p>
        </w:tc>
        <w:tc>
          <w:tcPr>
            <w:tcW w:type="dxa" w:w="2268"/>
          </w:tcPr>
          <w:p>
            <w:r>
              <w:rPr>
                <w:sz w:val="20"/>
              </w:rPr>
              <w:t>氯离子抗性</w:t>
            </w:r>
          </w:p>
        </w:tc>
      </w:tr>
    </w:tbl>
    <w:p/>
    <w:p>
      <w:r>
        <w:rPr>
          <w:b/>
        </w:rPr>
        <w:t xml:space="preserve">三级总结: </w:t>
      </w:r>
      <w:r/>
    </w:p>
    <w:p>
      <w:pPr>
        <w:pStyle w:val="ListBullet"/>
        <w:ind w:left="850"/>
      </w:pPr>
      <w:r>
        <w:t>通过钛碳-硫化物异质结设计激活晶格氧循环，实现氯离子竞争吸附的动态平衡</w:t>
      </w:r>
    </w:p>
    <w:p>
      <w:pPr>
        <w:pStyle w:val="ListBullet"/>
        <w:ind w:left="850"/>
      </w:pPr>
      <w:r>
        <w:t>结合态密度分析与阻抗谱动态拟合，建立电子传输效率与多级结构参数的定量关联</w:t>
      </w:r>
    </w:p>
    <w:p/>
    <w:p>
      <w:r>
        <w:br w:type="page"/>
      </w:r>
    </w:p>
    <w:p>
      <w:pPr>
        <w:pStyle w:val="Heading1"/>
      </w:pPr>
      <w:r>
        <w:t>七、Stage 2e：知识图谱构建与指标</w:t>
      </w:r>
    </w:p>
    <w:p>
      <w:r>
        <w:t>基于抽取的概念和关系构建知识图谱，计算 15+ 维度的图谱质量指标。</w:t>
      </w:r>
    </w:p>
    <w:p>
      <w:pPr>
        <w:pStyle w:val="Heading2"/>
      </w:pPr>
      <w:r>
        <w:t>7.1 图谱指标样例（3篇）</w:t>
      </w:r>
    </w:p>
    <w:p>
      <w:pPr>
        <w:pStyle w:val="Heading3"/>
      </w:pPr>
      <w:r>
        <w:t>样例 1: Nano-island-encapsulated cobalt single-atom catalysts for breaking activity-stab...</w:t>
      </w:r>
    </w:p>
    <w:p>
      <w:r>
        <w:rPr>
          <w:b/>
        </w:rPr>
        <w:t xml:space="preserve">图谱规模: </w:t>
      </w:r>
      <w:r>
        <w:t>32 个节点, 29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0.0476</w:t>
            </w:r>
          </w:p>
        </w:tc>
      </w:tr>
      <w:tr>
        <w:tc>
          <w:tcPr>
            <w:tcW w:type="dxa" w:w="3402"/>
          </w:tcPr>
          <w:p>
            <w:r>
              <w:rPr>
                <w:sz w:val="20"/>
              </w:rPr>
              <w:t>coverage</w:t>
            </w:r>
          </w:p>
        </w:tc>
        <w:tc>
          <w:tcPr>
            <w:tcW w:type="dxa" w:w="2268"/>
          </w:tcPr>
          <w:p>
            <w:r>
              <w:rPr>
                <w:sz w:val="20"/>
              </w:rPr>
              <w:t>0.5312</w:t>
            </w:r>
          </w:p>
        </w:tc>
      </w:tr>
      <w:tr>
        <w:tc>
          <w:tcPr>
            <w:tcW w:type="dxa" w:w="3402"/>
          </w:tcPr>
          <w:p>
            <w:r>
              <w:rPr>
                <w:sz w:val="20"/>
              </w:rPr>
              <w:t>bridging_score</w:t>
            </w:r>
          </w:p>
        </w:tc>
        <w:tc>
          <w:tcPr>
            <w:tcW w:type="dxa" w:w="2268"/>
          </w:tcPr>
          <w:p>
            <w:r>
              <w:rPr>
                <w:sz w:val="20"/>
              </w:rPr>
              <w:t>0.2917</w:t>
            </w:r>
          </w:p>
        </w:tc>
      </w:tr>
      <w:tr>
        <w:tc>
          <w:tcPr>
            <w:tcW w:type="dxa" w:w="3402"/>
          </w:tcPr>
          <w:p>
            <w:r>
              <w:rPr>
                <w:sz w:val="20"/>
              </w:rPr>
              <w:t>rao_stirling_diversity</w:t>
            </w:r>
          </w:p>
        </w:tc>
        <w:tc>
          <w:tcPr>
            <w:tcW w:type="dxa" w:w="2268"/>
          </w:tcPr>
          <w:p>
            <w:r>
              <w:rPr>
                <w:sz w:val="20"/>
              </w:rPr>
              <w:t>0.1508</w:t>
            </w:r>
          </w:p>
        </w:tc>
      </w:tr>
      <w:tr>
        <w:tc>
          <w:tcPr>
            <w:tcW w:type="dxa" w:w="3402"/>
          </w:tcPr>
          <w:p>
            <w:r>
              <w:rPr>
                <w:sz w:val="20"/>
              </w:rPr>
              <w:t>embedding_bridging</w:t>
            </w:r>
          </w:p>
        </w:tc>
        <w:tc>
          <w:tcPr>
            <w:tcW w:type="dxa" w:w="2268"/>
          </w:tcPr>
          <w:p>
            <w:r>
              <w:rPr>
                <w:sz w:val="20"/>
              </w:rPr>
              <w:t>1.0000</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pPr>
        <w:pStyle w:val="Heading3"/>
      </w:pPr>
      <w:r>
        <w:t>样例 2: High-entropy alloy enables multi-path electron synergism and lattice oxygen acti...</w:t>
      </w:r>
    </w:p>
    <w:p>
      <w:r>
        <w:rPr>
          <w:b/>
        </w:rPr>
        <w:t xml:space="preserve">图谱规模: </w:t>
      </w:r>
      <w:r>
        <w:t>21 个节点, 25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0.2222</w:t>
            </w:r>
          </w:p>
        </w:tc>
      </w:tr>
      <w:tr>
        <w:tc>
          <w:tcPr>
            <w:tcW w:type="dxa" w:w="3402"/>
          </w:tcPr>
          <w:p>
            <w:r>
              <w:rPr>
                <w:sz w:val="20"/>
              </w:rPr>
              <w:t>coverage</w:t>
            </w:r>
          </w:p>
        </w:tc>
        <w:tc>
          <w:tcPr>
            <w:tcW w:type="dxa" w:w="2268"/>
          </w:tcPr>
          <w:p>
            <w:r>
              <w:rPr>
                <w:sz w:val="20"/>
              </w:rPr>
              <w:t>0.6190</w:t>
            </w:r>
          </w:p>
        </w:tc>
      </w:tr>
      <w:tr>
        <w:tc>
          <w:tcPr>
            <w:tcW w:type="dxa" w:w="3402"/>
          </w:tcPr>
          <w:p>
            <w:r>
              <w:rPr>
                <w:sz w:val="20"/>
              </w:rPr>
              <w:t>bridging_score</w:t>
            </w:r>
          </w:p>
        </w:tc>
        <w:tc>
          <w:tcPr>
            <w:tcW w:type="dxa" w:w="2268"/>
          </w:tcPr>
          <w:p>
            <w:r>
              <w:rPr>
                <w:sz w:val="20"/>
              </w:rPr>
              <w:t>0.3478</w:t>
            </w:r>
          </w:p>
        </w:tc>
      </w:tr>
      <w:tr>
        <w:tc>
          <w:tcPr>
            <w:tcW w:type="dxa" w:w="3402"/>
          </w:tcPr>
          <w:p>
            <w:r>
              <w:rPr>
                <w:sz w:val="20"/>
              </w:rPr>
              <w:t>rao_stirling_diversity</w:t>
            </w:r>
          </w:p>
        </w:tc>
        <w:tc>
          <w:tcPr>
            <w:tcW w:type="dxa" w:w="2268"/>
          </w:tcPr>
          <w:p>
            <w:r>
              <w:rPr>
                <w:sz w:val="20"/>
              </w:rPr>
              <w:t>0.1044</w:t>
            </w:r>
          </w:p>
        </w:tc>
      </w:tr>
      <w:tr>
        <w:tc>
          <w:tcPr>
            <w:tcW w:type="dxa" w:w="3402"/>
          </w:tcPr>
          <w:p>
            <w:r>
              <w:rPr>
                <w:sz w:val="20"/>
              </w:rPr>
              <w:t>embedding_bridging</w:t>
            </w:r>
          </w:p>
        </w:tc>
        <w:tc>
          <w:tcPr>
            <w:tcW w:type="dxa" w:w="2268"/>
          </w:tcPr>
          <w:p>
            <w:r>
              <w:rPr>
                <w:sz w:val="20"/>
              </w:rPr>
              <w:t>1.0000</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pPr>
        <w:pStyle w:val="Heading3"/>
      </w:pPr>
      <w:r>
        <w:t>样例 3: MXene-Assisted NiFe sulfides for high-performance anion exchange membrane seawat...</w:t>
      </w:r>
    </w:p>
    <w:p>
      <w:r>
        <w:rPr>
          <w:b/>
        </w:rPr>
        <w:t xml:space="preserve">图谱规模: </w:t>
      </w:r>
      <w:r>
        <w:t>25 个节点, 26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0.2222</w:t>
            </w:r>
          </w:p>
        </w:tc>
      </w:tr>
      <w:tr>
        <w:tc>
          <w:tcPr>
            <w:tcW w:type="dxa" w:w="3402"/>
          </w:tcPr>
          <w:p>
            <w:r>
              <w:rPr>
                <w:sz w:val="20"/>
              </w:rPr>
              <w:t>coverage</w:t>
            </w:r>
          </w:p>
        </w:tc>
        <w:tc>
          <w:tcPr>
            <w:tcW w:type="dxa" w:w="2268"/>
          </w:tcPr>
          <w:p>
            <w:r>
              <w:rPr>
                <w:sz w:val="20"/>
              </w:rPr>
              <w:t>0.5600</w:t>
            </w:r>
          </w:p>
        </w:tc>
      </w:tr>
      <w:tr>
        <w:tc>
          <w:tcPr>
            <w:tcW w:type="dxa" w:w="3402"/>
          </w:tcPr>
          <w:p>
            <w:r>
              <w:rPr>
                <w:sz w:val="20"/>
              </w:rPr>
              <w:t>bridging_score</w:t>
            </w:r>
          </w:p>
        </w:tc>
        <w:tc>
          <w:tcPr>
            <w:tcW w:type="dxa" w:w="2268"/>
          </w:tcPr>
          <w:p>
            <w:r>
              <w:rPr>
                <w:sz w:val="20"/>
              </w:rPr>
              <w:t>0.1667</w:t>
            </w:r>
          </w:p>
        </w:tc>
      </w:tr>
      <w:tr>
        <w:tc>
          <w:tcPr>
            <w:tcW w:type="dxa" w:w="3402"/>
          </w:tcPr>
          <w:p>
            <w:r>
              <w:rPr>
                <w:sz w:val="20"/>
              </w:rPr>
              <w:t>rao_stirling_diversity</w:t>
            </w:r>
          </w:p>
        </w:tc>
        <w:tc>
          <w:tcPr>
            <w:tcW w:type="dxa" w:w="2268"/>
          </w:tcPr>
          <w:p>
            <w:r>
              <w:rPr>
                <w:sz w:val="20"/>
              </w:rPr>
              <w:t>0.0509</w:t>
            </w:r>
          </w:p>
        </w:tc>
      </w:tr>
      <w:tr>
        <w:tc>
          <w:tcPr>
            <w:tcW w:type="dxa" w:w="3402"/>
          </w:tcPr>
          <w:p>
            <w:r>
              <w:rPr>
                <w:sz w:val="20"/>
              </w:rPr>
              <w:t>embedding_bridging</w:t>
            </w:r>
          </w:p>
        </w:tc>
        <w:tc>
          <w:tcPr>
            <w:tcW w:type="dxa" w:w="2268"/>
          </w:tcPr>
          <w:p>
            <w:r>
              <w:rPr>
                <w:sz w:val="20"/>
              </w:rPr>
              <w:t>1.0000</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r>
        <w:br w:type="page"/>
      </w:r>
    </w:p>
    <w:p>
      <w:pPr>
        <w:pStyle w:val="Heading1"/>
      </w:pPr>
      <w:r>
        <w:t>八、Stage 3：Benchmark GT 数据集构建</w:t>
      </w:r>
    </w:p>
    <w:p>
      <w:r>
        <w:t>从抽取结果中构建 Evidence-Grounded 的 Ground Truth 数据集，用于后续评测。GT 包含术语、关系和跨学科路径。</w:t>
      </w:r>
    </w:p>
    <w:p>
      <w:pPr>
        <w:pStyle w:val="Heading2"/>
      </w:pPr>
      <w:r>
        <w:t>8.1 GT 样例（3条）</w:t>
      </w:r>
    </w:p>
    <w:p>
      <w:pPr>
        <w:pStyle w:val="Heading3"/>
      </w:pPr>
      <w:r>
        <w:t>样例 1</w:t>
      </w:r>
    </w:p>
    <w:p>
      <w:r>
        <w:rPr>
          <w:b/>
        </w:rPr>
        <w:t xml:space="preserve">标题: </w:t>
      </w:r>
      <w:r>
        <w:t>Nano-island-encapsulated cobalt single-atom catalysts for breaking activity-stability trade-off in Fenton-like reactions</w:t>
      </w:r>
    </w:p>
    <w:p>
      <w:r>
        <w:rPr>
          <w:b/>
        </w:rPr>
        <w:t xml:space="preserve">主学科: </w:t>
      </w:r>
      <w:r>
        <w:t>化学</w:t>
      </w:r>
    </w:p>
    <w:p>
      <w:r>
        <w:rPr>
          <w:b/>
        </w:rPr>
        <w:t xml:space="preserve">辅学科: </w:t>
      </w:r>
      <w:r>
        <w:t>化学, 材料科学, 环境科学技术</w:t>
      </w:r>
    </w:p>
    <w:p>
      <w:r>
        <w:rPr>
          <w:b/>
        </w:rPr>
        <w:t xml:space="preserve">GT 术语数: </w:t>
      </w:r>
      <w:r>
        <w:t>30</w:t>
      </w:r>
    </w:p>
    <w:p>
      <w:r>
        <w:rPr>
          <w:b/>
        </w:rPr>
        <w:t xml:space="preserve">GT 关系数: </w:t>
      </w:r>
      <w:r>
        <w:t>9</w:t>
      </w:r>
    </w:p>
    <w:p>
      <w:r>
        <w:rPr>
          <w:b/>
        </w:rPr>
        <w:t xml:space="preserve">GT 路径数: </w:t>
      </w:r>
      <w:r>
        <w:t>11</w:t>
      </w:r>
    </w:p>
    <w:p/>
    <w:p>
      <w:pPr>
        <w:pStyle w:val="Heading3"/>
      </w:pPr>
      <w:r>
        <w:t>样例 2</w:t>
      </w:r>
    </w:p>
    <w:p>
      <w:r>
        <w:rPr>
          <w:b/>
        </w:rPr>
        <w:t xml:space="preserve">标题: </w:t>
      </w:r>
      <w:r>
        <w:t>High-entropy alloy enables multi-path electron synergism and lattice oxygen activation for enhanced oxygen evolution act...</w:t>
      </w:r>
    </w:p>
    <w:p>
      <w:r>
        <w:rPr>
          <w:b/>
        </w:rPr>
        <w:t xml:space="preserve">主学科: </w:t>
      </w:r>
      <w:r>
        <w:t>化学</w:t>
      </w:r>
    </w:p>
    <w:p>
      <w:r>
        <w:rPr>
          <w:b/>
        </w:rPr>
        <w:t xml:space="preserve">辅学科: </w:t>
      </w:r>
      <w:r>
        <w:t>化学, 材料科学</w:t>
      </w:r>
    </w:p>
    <w:p>
      <w:r>
        <w:rPr>
          <w:b/>
        </w:rPr>
        <w:t xml:space="preserve">GT 术语数: </w:t>
      </w:r>
      <w:r>
        <w:t>20</w:t>
      </w:r>
    </w:p>
    <w:p>
      <w:r>
        <w:rPr>
          <w:b/>
        </w:rPr>
        <w:t xml:space="preserve">GT 关系数: </w:t>
      </w:r>
      <w:r>
        <w:t>3</w:t>
      </w:r>
    </w:p>
    <w:p>
      <w:r>
        <w:rPr>
          <w:b/>
        </w:rPr>
        <w:t xml:space="preserve">GT 路径数: </w:t>
      </w:r>
      <w:r>
        <w:t>1</w:t>
      </w:r>
    </w:p>
    <w:p/>
    <w:p>
      <w:pPr>
        <w:pStyle w:val="Heading3"/>
      </w:pPr>
      <w:r>
        <w:t>样例 3</w:t>
      </w:r>
    </w:p>
    <w:p>
      <w:r>
        <w:rPr>
          <w:b/>
        </w:rPr>
        <w:t xml:space="preserve">标题: </w:t>
      </w:r>
      <w:r>
        <w:t>MXene-Assisted NiFe sulfides for high-performance anion exchange membrane seawater electrolysis</w:t>
      </w:r>
    </w:p>
    <w:p>
      <w:r>
        <w:rPr>
          <w:b/>
        </w:rPr>
        <w:t xml:space="preserve">主学科: </w:t>
      </w:r>
      <w:r>
        <w:t>化学</w:t>
      </w:r>
    </w:p>
    <w:p>
      <w:r>
        <w:rPr>
          <w:b/>
        </w:rPr>
        <w:t xml:space="preserve">辅学科: </w:t>
      </w:r>
      <w:r>
        <w:t>化学, 材料科学</w:t>
      </w:r>
    </w:p>
    <w:p>
      <w:r>
        <w:rPr>
          <w:b/>
        </w:rPr>
        <w:t xml:space="preserve">GT 术语数: </w:t>
      </w:r>
      <w:r>
        <w:t>27</w:t>
      </w:r>
    </w:p>
    <w:p>
      <w:r>
        <w:rPr>
          <w:b/>
        </w:rPr>
        <w:t xml:space="preserve">GT 关系数: </w:t>
      </w:r>
      <w:r>
        <w:t>5</w:t>
      </w:r>
    </w:p>
    <w:p>
      <w:r>
        <w:rPr>
          <w:b/>
        </w:rPr>
        <w:t xml:space="preserve">GT 路径数: </w:t>
      </w:r>
      <w:r>
        <w:t>2</w:t>
      </w:r>
    </w:p>
    <w:p/>
    <w:p>
      <w:r>
        <w:br w:type="page"/>
      </w:r>
    </w:p>
    <w:p>
      <w:pPr>
        <w:pStyle w:val="Heading1"/>
      </w:pPr>
      <w:r>
        <w:t>九、Stage 4：P1-P5 五级 Prompt 消融实验</w:t>
      </w:r>
    </w:p>
    <w:p>
      <w:r>
        <w:t>对测试集论文，分别使用 P1-P5 五种不同信息量的 Prompt 生成假设，用于评估不同引导程度对跨学科假设生成质量的影响。</w:t>
      </w:r>
    </w:p>
    <w:p>
      <w:pPr>
        <w:pStyle w:val="Heading2"/>
      </w:pPr>
      <w:r>
        <w:t>9.1 P1-P5 级别说明</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850"/>
          </w:tcPr>
          <w:p>
            <w:pPr>
              <w:jc w:val="center"/>
            </w:pPr>
            <w:r>
              <w:rPr>
                <w:b/>
                <w:sz w:val="20"/>
              </w:rPr>
              <w:t>级别</w:t>
            </w:r>
          </w:p>
        </w:tc>
        <w:tc>
          <w:tcPr>
            <w:tcW w:type="dxa" w:w="1417"/>
          </w:tcPr>
          <w:p>
            <w:pPr>
              <w:jc w:val="center"/>
            </w:pPr>
            <w:r>
              <w:rPr>
                <w:b/>
                <w:sz w:val="20"/>
              </w:rPr>
              <w:t>Query</w:t>
            </w:r>
          </w:p>
        </w:tc>
        <w:tc>
          <w:tcPr>
            <w:tcW w:type="dxa" w:w="1984"/>
          </w:tcPr>
          <w:p>
            <w:pPr>
              <w:jc w:val="center"/>
            </w:pPr>
            <w:r>
              <w:rPr>
                <w:b/>
                <w:sz w:val="20"/>
              </w:rPr>
              <w:t>论文信息</w:t>
            </w:r>
          </w:p>
        </w:tc>
        <w:tc>
          <w:tcPr>
            <w:tcW w:type="dxa" w:w="1984"/>
          </w:tcPr>
          <w:p>
            <w:pPr>
              <w:jc w:val="center"/>
            </w:pPr>
            <w:r>
              <w:rPr>
                <w:b/>
                <w:sz w:val="20"/>
              </w:rPr>
              <w:t>结构化知识</w:t>
            </w:r>
          </w:p>
        </w:tc>
        <w:tc>
          <w:tcPr>
            <w:tcW w:type="dxa" w:w="1701"/>
          </w:tcPr>
          <w:p>
            <w:pPr>
              <w:jc w:val="center"/>
            </w:pPr>
            <w:r>
              <w:rPr>
                <w:b/>
                <w:sz w:val="20"/>
              </w:rPr>
              <w:t>格式</w:t>
            </w:r>
          </w:p>
        </w:tc>
      </w:tr>
      <w:tr>
        <w:tc>
          <w:tcPr>
            <w:tcW w:type="dxa" w:w="850"/>
          </w:tcPr>
          <w:p>
            <w:r>
              <w:rPr>
                <w:sz w:val="20"/>
              </w:rPr>
              <w:t>P1</w:t>
            </w:r>
          </w:p>
        </w:tc>
        <w:tc>
          <w:tcPr>
            <w:tcW w:type="dxa" w:w="1417"/>
          </w:tcPr>
          <w:p>
            <w:r>
              <w:rPr>
                <w:sz w:val="20"/>
              </w:rPr>
              <w:t>L1 only</w:t>
            </w:r>
          </w:p>
        </w:tc>
        <w:tc>
          <w:tcPr>
            <w:tcW w:type="dxa" w:w="1984"/>
          </w:tcPr>
          <w:p>
            <w:r>
              <w:rPr>
                <w:sz w:val="20"/>
              </w:rPr>
              <w:t>无</w:t>
            </w:r>
          </w:p>
        </w:tc>
        <w:tc>
          <w:tcPr>
            <w:tcW w:type="dxa" w:w="1984"/>
          </w:tcPr>
          <w:p>
            <w:r>
              <w:rPr>
                <w:sz w:val="20"/>
              </w:rPr>
              <w:t>无</w:t>
            </w:r>
          </w:p>
        </w:tc>
        <w:tc>
          <w:tcPr>
            <w:tcW w:type="dxa" w:w="1701"/>
          </w:tcPr>
          <w:p>
            <w:r>
              <w:rPr>
                <w:sz w:val="20"/>
              </w:rPr>
              <w:t>自由文本</w:t>
            </w:r>
          </w:p>
        </w:tc>
      </w:tr>
      <w:tr>
        <w:tc>
          <w:tcPr>
            <w:tcW w:type="dxa" w:w="850"/>
          </w:tcPr>
          <w:p>
            <w:r>
              <w:rPr>
                <w:sz w:val="20"/>
              </w:rPr>
              <w:t>P2</w:t>
            </w:r>
          </w:p>
        </w:tc>
        <w:tc>
          <w:tcPr>
            <w:tcW w:type="dxa" w:w="1417"/>
          </w:tcPr>
          <w:p>
            <w:r>
              <w:rPr>
                <w:sz w:val="20"/>
              </w:rPr>
              <w:t>L1 + L2</w:t>
            </w:r>
          </w:p>
        </w:tc>
        <w:tc>
          <w:tcPr>
            <w:tcW w:type="dxa" w:w="1984"/>
          </w:tcPr>
          <w:p>
            <w:r>
              <w:rPr>
                <w:sz w:val="20"/>
              </w:rPr>
              <w:t>abstract + 学科角色</w:t>
            </w:r>
          </w:p>
        </w:tc>
        <w:tc>
          <w:tcPr>
            <w:tcW w:type="dxa" w:w="1984"/>
          </w:tcPr>
          <w:p>
            <w:r>
              <w:rPr>
                <w:sz w:val="20"/>
              </w:rPr>
              <w:t>无</w:t>
            </w:r>
          </w:p>
        </w:tc>
        <w:tc>
          <w:tcPr>
            <w:tcW w:type="dxa" w:w="1701"/>
          </w:tcPr>
          <w:p>
            <w:r>
              <w:rPr>
                <w:sz w:val="20"/>
              </w:rPr>
              <w:t>自由文本</w:t>
            </w:r>
          </w:p>
        </w:tc>
      </w:tr>
      <w:tr>
        <w:tc>
          <w:tcPr>
            <w:tcW w:type="dxa" w:w="850"/>
          </w:tcPr>
          <w:p>
            <w:r>
              <w:rPr>
                <w:sz w:val="20"/>
              </w:rPr>
              <w:t>P3</w:t>
            </w:r>
          </w:p>
        </w:tc>
        <w:tc>
          <w:tcPr>
            <w:tcW w:type="dxa" w:w="1417"/>
          </w:tcPr>
          <w:p>
            <w:r>
              <w:rPr>
                <w:sz w:val="20"/>
              </w:rPr>
              <w:t>L1+L2+L3</w:t>
            </w:r>
          </w:p>
        </w:tc>
        <w:tc>
          <w:tcPr>
            <w:tcW w:type="dxa" w:w="1984"/>
          </w:tcPr>
          <w:p>
            <w:r>
              <w:rPr>
                <w:sz w:val="20"/>
              </w:rPr>
              <w:t>abstract + 学科角色</w:t>
            </w:r>
          </w:p>
        </w:tc>
        <w:tc>
          <w:tcPr>
            <w:tcW w:type="dxa" w:w="1984"/>
          </w:tcPr>
          <w:p>
            <w:r>
              <w:rPr>
                <w:sz w:val="20"/>
              </w:rPr>
              <w:t>概念列表</w:t>
            </w:r>
          </w:p>
        </w:tc>
        <w:tc>
          <w:tcPr>
            <w:tcW w:type="dxa" w:w="1701"/>
          </w:tcPr>
          <w:p>
            <w:r>
              <w:rPr>
                <w:sz w:val="20"/>
              </w:rPr>
              <w:t>半结构化</w:t>
            </w:r>
          </w:p>
        </w:tc>
      </w:tr>
      <w:tr>
        <w:tc>
          <w:tcPr>
            <w:tcW w:type="dxa" w:w="850"/>
          </w:tcPr>
          <w:p>
            <w:r>
              <w:rPr>
                <w:sz w:val="20"/>
              </w:rPr>
              <w:t>P4</w:t>
            </w:r>
          </w:p>
        </w:tc>
        <w:tc>
          <w:tcPr>
            <w:tcW w:type="dxa" w:w="1417"/>
          </w:tcPr>
          <w:p>
            <w:r>
              <w:rPr>
                <w:sz w:val="20"/>
              </w:rPr>
              <w:t>L1+L2+L3</w:t>
            </w:r>
          </w:p>
        </w:tc>
        <w:tc>
          <w:tcPr>
            <w:tcW w:type="dxa" w:w="1984"/>
          </w:tcPr>
          <w:p>
            <w:r>
              <w:rPr>
                <w:sz w:val="20"/>
              </w:rPr>
              <w:t>abstract + 学科角色</w:t>
            </w:r>
          </w:p>
        </w:tc>
        <w:tc>
          <w:tcPr>
            <w:tcW w:type="dxa" w:w="1984"/>
          </w:tcPr>
          <w:p>
            <w:r>
              <w:rPr>
                <w:sz w:val="20"/>
              </w:rPr>
              <w:t>概念 + 关系</w:t>
            </w:r>
          </w:p>
        </w:tc>
        <w:tc>
          <w:tcPr>
            <w:tcW w:type="dxa" w:w="1701"/>
          </w:tcPr>
          <w:p>
            <w:r>
              <w:rPr>
                <w:sz w:val="20"/>
              </w:rPr>
              <w:t>半结构化</w:t>
            </w:r>
          </w:p>
        </w:tc>
      </w:tr>
      <w:tr>
        <w:tc>
          <w:tcPr>
            <w:tcW w:type="dxa" w:w="850"/>
          </w:tcPr>
          <w:p>
            <w:r>
              <w:rPr>
                <w:sz w:val="20"/>
              </w:rPr>
              <w:t>P5</w:t>
            </w:r>
          </w:p>
        </w:tc>
        <w:tc>
          <w:tcPr>
            <w:tcW w:type="dxa" w:w="1417"/>
          </w:tcPr>
          <w:p>
            <w:r>
              <w:rPr>
                <w:sz w:val="20"/>
              </w:rPr>
              <w:t>L1+L2+L3</w:t>
            </w:r>
          </w:p>
        </w:tc>
        <w:tc>
          <w:tcPr>
            <w:tcW w:type="dxa" w:w="1984"/>
          </w:tcPr>
          <w:p>
            <w:r>
              <w:rPr>
                <w:sz w:val="20"/>
              </w:rPr>
              <w:t>完整结构化摘要</w:t>
            </w:r>
          </w:p>
        </w:tc>
        <w:tc>
          <w:tcPr>
            <w:tcW w:type="dxa" w:w="1984"/>
          </w:tcPr>
          <w:p>
            <w:r>
              <w:rPr>
                <w:sz w:val="20"/>
              </w:rPr>
              <w:t>概念+关系+路径</w:t>
            </w:r>
          </w:p>
        </w:tc>
        <w:tc>
          <w:tcPr>
            <w:tcW w:type="dxa" w:w="1701"/>
          </w:tcPr>
          <w:p>
            <w:r>
              <w:rPr>
                <w:sz w:val="20"/>
              </w:rPr>
              <w:t>3-step 路径</w:t>
            </w:r>
          </w:p>
        </w:tc>
      </w:tr>
    </w:tbl>
    <w:p/>
    <w:p>
      <w:pPr>
        <w:pStyle w:val="Heading2"/>
      </w:pPr>
      <w:r>
        <w:t>9.2 P1-P5 生成样例</w:t>
      </w:r>
    </w:p>
    <w:p>
      <w:pPr>
        <w:pStyle w:val="Heading3"/>
      </w:pPr>
      <w:r>
        <w:t>P1 样例</w:t>
      </w:r>
    </w:p>
    <w:p>
      <w:r>
        <w:rPr>
          <w:b/>
        </w:rPr>
        <w:t xml:space="preserve">论文: </w:t>
      </w:r>
      <w:r>
        <w:t>The tetracycline resistome is shaped by selection for specific resistance mechanisms by each antibio...</w:t>
      </w:r>
    </w:p>
    <w:p>
      <w:r>
        <w:rPr>
          <w:b/>
        </w:rPr>
        <w:t xml:space="preserve">主学科: </w:t>
      </w:r>
      <w:r>
        <w:t>生物学</w:t>
      </w:r>
    </w:p>
    <w:p>
      <w:r>
        <w:rPr>
          <w:b/>
        </w:rPr>
        <w:t xml:space="preserve">耗时: </w:t>
      </w:r>
      <w:r>
        <w:t>29.6 秒</w:t>
      </w:r>
    </w:p>
    <w:p>
      <w:r>
        <w:rPr>
          <w:b/>
        </w:rPr>
        <w:t xml:space="preserve">生成假设: </w:t>
      </w:r>
      <w:r/>
    </w:p>
    <w:p>
      <w:pPr>
        <w:spacing w:before="0" w:after="0" w:line="276" w:lineRule="auto"/>
        <w:ind w:left="567"/>
      </w:pPr>
      <w:r>
        <w:rPr>
          <w:rFonts w:ascii="Consolas" w:hAnsi="Consolas"/>
          <w:color w:val="2D2D2D"/>
          <w:sz w:val="18"/>
          <w:shd w:val="clear" w:color="auto" w:fill="F2F2F2"/>
        </w:rPr>
        <w:t>**Hypothesis:** 四环素抗性组的动态演化受环境中亚抑制浓度重金属（如锌、铜）与抗生素的协同选择压力驱动，其机制涉及重金属诱导的氧化应激激活细菌自然转化系统（如 competence regulon），促进游离四环素抗性基因（如*tetA*、*tetG*）的摄取与整合，同时通过移动遗传元件（如ISCR2转座子）的复制选择性扩增抗性基因簇，形成环境-基因水平转移-宿主适应的正反馈回路。可通过定量比较不同金属浓度下霍乱弧菌等模式菌的转化效率、抗性基因整合频率及生物膜中基因水平转移速率，并结合宏基因组时序分析验证该假设。</w:t>
      </w:r>
    </w:p>
    <w:p/>
    <w:p>
      <w:pPr>
        <w:pStyle w:val="Heading3"/>
      </w:pPr>
      <w:r>
        <w:t>P2 样例</w:t>
      </w:r>
    </w:p>
    <w:p>
      <w:r>
        <w:rPr>
          <w:b/>
        </w:rPr>
        <w:t xml:space="preserve">论文: </w:t>
      </w:r>
      <w:r>
        <w:t>The tetracycline resistome is shaped by selection for specific resistance mechanisms by each antibio...</w:t>
      </w:r>
    </w:p>
    <w:p>
      <w:r>
        <w:rPr>
          <w:b/>
        </w:rPr>
        <w:t xml:space="preserve">主学科: </w:t>
      </w:r>
      <w:r>
        <w:t>生物学</w:t>
      </w:r>
    </w:p>
    <w:p>
      <w:r>
        <w:rPr>
          <w:b/>
        </w:rPr>
        <w:t xml:space="preserve">耗时: </w:t>
      </w:r>
      <w:r>
        <w:t>40.3 秒</w:t>
      </w:r>
    </w:p>
    <w:p>
      <w:r>
        <w:rPr>
          <w:b/>
        </w:rPr>
        <w:t xml:space="preserve">生成假设: </w:t>
      </w:r>
      <w:r/>
    </w:p>
    <w:p>
      <w:pPr>
        <w:spacing w:before="0" w:after="0" w:line="276" w:lineRule="auto"/>
        <w:ind w:left="567"/>
      </w:pPr>
      <w:r>
        <w:rPr>
          <w:rFonts w:ascii="Consolas" w:hAnsi="Consolas"/>
          <w:color w:val="2D2D2D"/>
          <w:sz w:val="18"/>
          <w:shd w:val="clear" w:color="auto" w:fill="F2F2F2"/>
        </w:rPr>
        <w:t>L1 Hypothesis: 四环素抗性组的形成遵循"代次-机制适配"动态模型，即不同抗生素代次通过分子结构与作用靶点的协同进化，驱动特定抗性机制（外排泵/核糖体保护/酶促失活）的适应性扩张，形成具有代次特征的抗性基因网络。这种动态平衡由临床用药选择压力与细菌适应性代价的相互作用维持，导致抗性基因库呈现代次特异性的时空分布格局。</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L2 Hypotheses:</w:t>
      </w:r>
    </w:p>
    <w:p>
      <w:pPr>
        <w:spacing w:before="0" w:after="0" w:line="276" w:lineRule="auto"/>
        <w:ind w:left="567"/>
      </w:pPr>
      <w:r>
        <w:rPr>
          <w:rFonts w:ascii="Consolas" w:hAnsi="Consolas"/>
          <w:color w:val="2D2D2D"/>
          <w:sz w:val="18"/>
          <w:shd w:val="clear" w:color="auto" w:fill="F2F2F2"/>
        </w:rPr>
        <w:t>- Q1: 抗生素代次的化学结构差异通过改变细胞内药物浓度梯度和靶点结合效率，形成机制选择压力梯度。早期四环素类（如四环素）主要通过核糖体结合位点竞争选择核糖体保护蛋白（TetM）机制，而新型甘氨酰环素类（如替加环素）由于C9位取代基团的空间位阻效应，优先选择具有底物特异性外排泵（TetA）和新型酶促修饰机制（TetX7）。这种选择压力差异导致不同机制在抗生素代次交替时呈现非对称性进化速率变化。</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 Q2: 替加环素临床应用与tet(X)基因家族的时空关联存在"选择窗口滞后效应"，即药物大规模使用后3-5年出现基因频率爆发式增长，且医院感染源比社区感染源提前1.8±0.3年检测到tet(X)变异体。这种时空关联源于替加环素对生物膜形成的双重调控作用：低浓度时诱导外排泵基因表达，高浓度时筛选tet(X)介导的核糖体修饰机制，导致医院环境中耐药基因通过水平基因转移形成传播热点。</w:t>
      </w:r>
    </w:p>
    <w:p/>
    <w:p>
      <w:pPr>
        <w:pStyle w:val="Heading3"/>
      </w:pPr>
      <w:r>
        <w:t>P3 样例</w:t>
      </w:r>
    </w:p>
    <w:p>
      <w:r>
        <w:rPr>
          <w:b/>
        </w:rPr>
        <w:t xml:space="preserve">论文: </w:t>
      </w:r>
      <w:r>
        <w:t>The tetracycline resistome is shaped by selection for specific resistance mechanisms by each antibio...</w:t>
      </w:r>
    </w:p>
    <w:p>
      <w:r>
        <w:rPr>
          <w:b/>
        </w:rPr>
        <w:t xml:space="preserve">主学科: </w:t>
      </w:r>
      <w:r>
        <w:t>生物学</w:t>
      </w:r>
    </w:p>
    <w:p>
      <w:r>
        <w:rPr>
          <w:b/>
        </w:rPr>
        <w:t xml:space="preserve">耗时: </w:t>
      </w:r>
      <w:r>
        <w:t>37.3 秒</w:t>
      </w:r>
    </w:p>
    <w:p>
      <w:r>
        <w:rPr>
          <w:b/>
        </w:rPr>
        <w:t xml:space="preserve">生成假设: </w:t>
      </w:r>
      <w:r/>
    </w:p>
    <w:p>
      <w:pPr>
        <w:spacing w:before="0" w:after="0" w:line="276" w:lineRule="auto"/>
        <w:ind w:left="567"/>
      </w:pPr>
      <w:r>
        <w:rPr>
          <w:rFonts w:ascii="Consolas" w:hAnsi="Consolas"/>
          <w:color w:val="2D2D2D"/>
          <w:sz w:val="18"/>
          <w:shd w:val="clear" w:color="auto" w:fill="F2F2F2"/>
        </w:rPr>
        <w:t>L1 Hypothesis: 四环素抗性组的动态演化由抗生素代次与抗性机制类型的协同作用驱动，其中临床引入的第三代替加环素通过增强tet(X12)等新型酶促失活基因的适应度优势，形成机制特异性菌株混合模式，而第二代多西环素则通过外排泵基因（如tet(A)）的高表达维持其临床持久性。这种跨尺度演化规律可通过整合生长动力学参数与临床抗生素部署时序数据建模揭示。</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 xml:space="preserve">L2 Hypotheses:  </w:t>
      </w:r>
    </w:p>
    <w:p>
      <w:pPr>
        <w:spacing w:before="0" w:after="0" w:line="276" w:lineRule="auto"/>
        <w:ind w:left="567"/>
      </w:pPr>
      <w:r>
        <w:rPr>
          <w:rFonts w:ascii="Consolas" w:hAnsi="Consolas"/>
          <w:color w:val="2D2D2D"/>
          <w:sz w:val="18"/>
          <w:shd w:val="clear" w:color="auto" w:fill="F2F2F2"/>
        </w:rPr>
        <w:t xml:space="preserve">- Q1: 不同代次四环素类抗生素的分子结构差异导致机制特异性选择阈值变化，例如替加环素临床应用会显著提高核糖体保护蛋白（Tet(M)）与酶促失活机制（Tet(X12)）的相对丰度比值，而米诺环素选择压力下外排泵机制菌株（tet(G)）将呈现指数级扩张优势。  </w:t>
      </w:r>
    </w:p>
    <w:p>
      <w:pPr>
        <w:spacing w:before="0" w:after="0" w:line="276" w:lineRule="auto"/>
        <w:ind w:left="567"/>
      </w:pPr>
      <w:r>
        <w:rPr>
          <w:rFonts w:ascii="Consolas" w:hAnsi="Consolas"/>
          <w:color w:val="2D2D2D"/>
          <w:sz w:val="18"/>
          <w:shd w:val="clear" w:color="auto" w:fill="F2F2F2"/>
        </w:rPr>
        <w:t>- Q2: tet(X3)基因在病原体中被临床发现的时间滞后于其在环境微生物中的进化起源，这种时空错位由替加环素临床引入时间点与携带tet(X3)质粒的医院污水微生物群落混杂效应共同决定，可通过比较不同地理区域抗生素使用强度与基因检出率建立剂量效应关系。</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 xml:space="preserve">L3 Hypotheses:  </w:t>
      </w:r>
    </w:p>
    <w:p>
      <w:pPr>
        <w:spacing w:before="0" w:after="0" w:line="276" w:lineRule="auto"/>
        <w:ind w:left="567"/>
      </w:pPr>
      <w:r>
        <w:rPr>
          <w:rFonts w:ascii="Consolas" w:hAnsi="Consolas"/>
          <w:color w:val="2D2D2D"/>
          <w:sz w:val="18"/>
          <w:shd w:val="clear" w:color="auto" w:fill="F2F2F2"/>
        </w:rPr>
        <w:t xml:space="preserve">- Q1: 通过高通量条形码测序量化混合培养中tet(X12)-表达菌株与tet(M)-表达菌株的相对丰度变化轨迹，结合临床替加环素应用率数据构建Logistic回归模型，可预测当替加环素使用量增加10%时，tet(X12)基因频率将上升1.8-2.3倍（p&lt;0.01）。  </w:t>
      </w:r>
    </w:p>
    <w:p>
      <w:pPr>
        <w:spacing w:before="0" w:after="0" w:line="276" w:lineRule="auto"/>
        <w:ind w:left="567"/>
      </w:pPr>
      <w:r>
        <w:rPr>
          <w:rFonts w:ascii="Consolas" w:hAnsi="Consolas"/>
          <w:color w:val="2D2D2D"/>
          <w:sz w:val="18"/>
          <w:shd w:val="clear" w:color="auto" w:fill="F2F2F2"/>
        </w:rPr>
        <w:t>- Q2: 机制内相对适应度差异可通过MIC梯度验证：在相同抗生素浓度下，tet(A)同源基因簇内不同等位基因（如tet(A1) vs tet(A2)）的丰度变化率与MIC差值呈线性正相关（R²&gt;0.75），而机制间比较（如tet(A) vs tet(X12)）的丰度差异将突破MIC解释框架，需要引入能量代价模型进行修正。</w:t>
      </w:r>
    </w:p>
    <w:p/>
    <w:p>
      <w:pPr>
        <w:pStyle w:val="Heading3"/>
      </w:pPr>
      <w:r>
        <w:t>P4 样例</w:t>
      </w:r>
    </w:p>
    <w:p>
      <w:r>
        <w:rPr>
          <w:b/>
        </w:rPr>
        <w:t xml:space="preserve">论文: </w:t>
      </w:r>
      <w:r>
        <w:t>The tetracycline resistome is shaped by selection for specific resistance mechanisms by each antibio...</w:t>
      </w:r>
    </w:p>
    <w:p>
      <w:r>
        <w:rPr>
          <w:b/>
        </w:rPr>
        <w:t xml:space="preserve">主学科: </w:t>
      </w:r>
      <w:r>
        <w:t>生物学</w:t>
      </w:r>
    </w:p>
    <w:p>
      <w:r>
        <w:rPr>
          <w:b/>
        </w:rPr>
        <w:t xml:space="preserve">耗时: </w:t>
      </w:r>
      <w:r>
        <w:t>48.7 秒</w:t>
      </w:r>
    </w:p>
    <w:p>
      <w:r>
        <w:rPr>
          <w:b/>
        </w:rPr>
        <w:t xml:space="preserve">生成假设: </w:t>
      </w:r>
      <w:r/>
    </w:p>
    <w:p>
      <w:pPr>
        <w:spacing w:before="0" w:after="0" w:line="276" w:lineRule="auto"/>
        <w:ind w:left="567"/>
      </w:pPr>
      <w:r>
        <w:rPr>
          <w:rFonts w:ascii="Consolas" w:hAnsi="Consolas"/>
          <w:color w:val="2D2D2D"/>
          <w:sz w:val="18"/>
          <w:shd w:val="clear" w:color="auto" w:fill="F2F2F2"/>
        </w:rPr>
        <w:t>L1 Hypothesis:</w:t>
      </w:r>
    </w:p>
    <w:p>
      <w:pPr>
        <w:spacing w:before="0" w:after="0" w:line="276" w:lineRule="auto"/>
        <w:ind w:left="567"/>
      </w:pPr>
      <w:r>
        <w:rPr>
          <w:rFonts w:ascii="Consolas" w:hAnsi="Consolas"/>
          <w:color w:val="2D2D2D"/>
          <w:sz w:val="18"/>
          <w:shd w:val="clear" w:color="auto" w:fill="F2F2F2"/>
        </w:rPr>
        <w:t>hypothesis: 四环素抗性组的动态演化不仅受抗生素代次选择压力驱动，还受宿主药物代谢动力学调控，其核心机制是肝脏代谢酶产生的药物活性代谢物对不同抗性机制的差异化选择压力，导致核糖体保护蛋白类基因在高代谢区患者中呈现适应度优势</w:t>
      </w:r>
    </w:p>
    <w:p>
      <w:pPr>
        <w:spacing w:before="0" w:after="0" w:line="276" w:lineRule="auto"/>
        <w:ind w:left="567"/>
      </w:pPr>
      <w:r>
        <w:rPr>
          <w:rFonts w:ascii="Consolas" w:hAnsi="Consolas"/>
          <w:color w:val="2D2D2D"/>
          <w:sz w:val="18"/>
          <w:shd w:val="clear" w:color="auto" w:fill="F2F2F2"/>
        </w:rPr>
        <w:t>reasoning: 1. 已知抗生素代次通过机制特异性选择塑造抗性组(关系1)；2. 临床发现肝功能异常患者更易出现替加环素耐药(临床医学现象)；3. 药物代谢动力学差异可能产生浓度梯度选择压力(新机制)；4. 结合宿主代谢特征与微生物组互作，可预测抗性组空间分布模式(跨学科连接)</w:t>
      </w:r>
    </w:p>
    <w:p>
      <w:pPr>
        <w:spacing w:before="0" w:after="0" w:line="276" w:lineRule="auto"/>
        <w:ind w:left="567"/>
      </w:pPr>
      <w:r>
        <w:rPr>
          <w:rFonts w:ascii="Consolas" w:hAnsi="Consolas"/>
          <w:color w:val="2D2D2D"/>
          <w:sz w:val="18"/>
          <w:shd w:val="clear" w:color="auto" w:fill="F2F2F2"/>
        </w:rPr>
        <w:t>key_concepts: 药物代谢动力学, 核糖体保护蛋白, 肝脏代谢酶, 活性代谢物, 空间适应度梯度</w:t>
      </w:r>
    </w:p>
    <w:p>
      <w:pPr>
        <w:spacing w:before="0" w:after="0" w:line="276" w:lineRule="auto"/>
        <w:ind w:left="567"/>
      </w:pPr>
      <w:r>
        <w:rPr>
          <w:rFonts w:ascii="Consolas" w:hAnsi="Consolas"/>
          <w:color w:val="2D2D2D"/>
          <w:sz w:val="18"/>
          <w:shd w:val="clear" w:color="auto" w:fill="F2F2F2"/>
        </w:rPr>
        <w:t>disciplines_bridged: 生物学, 临床医学</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L2 Hypotheses:</w:t>
      </w:r>
    </w:p>
    <w:p>
      <w:pPr>
        <w:spacing w:before="0" w:after="0" w:line="276" w:lineRule="auto"/>
        <w:ind w:left="567"/>
      </w:pPr>
      <w:r>
        <w:rPr>
          <w:rFonts w:ascii="Consolas" w:hAnsi="Consolas"/>
          <w:color w:val="2D2D2D"/>
          <w:sz w:val="18"/>
          <w:shd w:val="clear" w:color="auto" w:fill="F2F2F2"/>
        </w:rPr>
        <w:t>- Q1:</w:t>
      </w:r>
    </w:p>
    <w:p>
      <w:pPr>
        <w:spacing w:before="0" w:after="0" w:line="276" w:lineRule="auto"/>
        <w:ind w:left="567"/>
      </w:pPr>
      <w:r>
        <w:rPr>
          <w:rFonts w:ascii="Consolas" w:hAnsi="Consolas"/>
          <w:color w:val="2D2D2D"/>
          <w:sz w:val="18"/>
          <w:shd w:val="clear" w:color="auto" w:fill="F2F2F2"/>
        </w:rPr>
        <w:t xml:space="preserve">    hypothesis: 宿主免疫应答强度与抗生素浓度协同作用形成复合选择压力，导致外排泵基因在低剂量预防性用药场景中具有更高的适应度优势</w:t>
      </w:r>
    </w:p>
    <w:p>
      <w:pPr>
        <w:spacing w:before="0" w:after="0" w:line="276" w:lineRule="auto"/>
        <w:ind w:left="567"/>
      </w:pPr>
      <w:r>
        <w:rPr>
          <w:rFonts w:ascii="Consolas" w:hAnsi="Consolas"/>
          <w:color w:val="2D2D2D"/>
          <w:sz w:val="18"/>
          <w:shd w:val="clear" w:color="auto" w:fill="F2F2F2"/>
        </w:rPr>
        <w:t xml:space="preserve">    reasoning: 1. 已知外排泵被特定代次抗生素选择(关系1)；2. 临床观察显示免疫抑制患者更易发生多西环素耐药；3. 推测免疫细胞产生的活性氧可增强外排泵底物特异性；4. 建立免疫-抗生素双压力模型可解释医院环境耐药基因流行病学</w:t>
      </w:r>
    </w:p>
    <w:p>
      <w:pPr>
        <w:spacing w:before="0" w:after="0" w:line="276" w:lineRule="auto"/>
        <w:ind w:left="567"/>
      </w:pPr>
      <w:r>
        <w:rPr>
          <w:rFonts w:ascii="Consolas" w:hAnsi="Consolas"/>
          <w:color w:val="2D2D2D"/>
          <w:sz w:val="18"/>
          <w:shd w:val="clear" w:color="auto" w:fill="F2F2F2"/>
        </w:rPr>
        <w:t xml:space="preserve">    key_concepts: 免疫应答强度, 外排泵, 活性氧, 预防性用药, 双压力选择模型</w:t>
      </w:r>
    </w:p>
    <w:p>
      <w:pPr>
        <w:spacing w:before="0" w:after="0" w:line="276" w:lineRule="auto"/>
        <w:ind w:left="567"/>
      </w:pPr>
      <w:r>
        <w:rPr>
          <w:rFonts w:ascii="Consolas" w:hAnsi="Consolas"/>
          <w:color w:val="2D2D2D"/>
          <w:sz w:val="18"/>
          <w:shd w:val="clear" w:color="auto" w:fill="F2F2F2"/>
        </w:rPr>
        <w:t xml:space="preserve">    disciplines_bridged: 生物学, 临床医学</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 Q2:</w:t>
      </w:r>
    </w:p>
    <w:p>
      <w:pPr>
        <w:spacing w:before="0" w:after="0" w:line="276" w:lineRule="auto"/>
        <w:ind w:left="567"/>
      </w:pPr>
      <w:r>
        <w:rPr>
          <w:rFonts w:ascii="Consolas" w:hAnsi="Consolas"/>
          <w:color w:val="2D2D2D"/>
          <w:sz w:val="18"/>
          <w:shd w:val="clear" w:color="auto" w:fill="F2F2F2"/>
        </w:rPr>
        <w:t xml:space="preserve">    hypothesis: 临床环境中的共生菌群通过水平基因转移促进替加环素抗性基因(TetX)的扩散，其转移效率与病原体在医院环境中的宿主切换频率呈正相关</w:t>
      </w:r>
    </w:p>
    <w:p>
      <w:pPr>
        <w:spacing w:before="0" w:after="0" w:line="276" w:lineRule="auto"/>
        <w:ind w:left="567"/>
      </w:pPr>
      <w:r>
        <w:rPr>
          <w:rFonts w:ascii="Consolas" w:hAnsi="Consolas"/>
          <w:color w:val="2D2D2D"/>
          <w:sz w:val="18"/>
          <w:shd w:val="clear" w:color="auto" w:fill="F2F2F2"/>
        </w:rPr>
        <w:t xml:space="preserve">    reasoning: 1. 替加环素引入与DES1基因发现存在时空关联(关系6...</w:t>
      </w:r>
    </w:p>
    <w:p/>
    <w:p>
      <w:pPr>
        <w:pStyle w:val="Heading3"/>
      </w:pPr>
      <w:r>
        <w:t>P5 样例</w:t>
      </w:r>
    </w:p>
    <w:p>
      <w:r>
        <w:rPr>
          <w:b/>
        </w:rPr>
        <w:t xml:space="preserve">论文: </w:t>
      </w:r>
      <w:r>
        <w:t>The tetracycline resistome is shaped by selection for specific resistance mechanisms by each antibio...</w:t>
      </w:r>
    </w:p>
    <w:p>
      <w:r>
        <w:rPr>
          <w:b/>
        </w:rPr>
        <w:t xml:space="preserve">主学科: </w:t>
      </w:r>
      <w:r>
        <w:t>生物学</w:t>
      </w:r>
    </w:p>
    <w:p>
      <w:r>
        <w:rPr>
          <w:b/>
        </w:rPr>
        <w:t xml:space="preserve">耗时: </w:t>
      </w:r>
      <w:r>
        <w:t>0.0 秒</w:t>
      </w:r>
    </w:p>
    <w:p>
      <w:r>
        <w:rPr>
          <w:b/>
        </w:rPr>
        <w:t xml:space="preserve">生成假设: </w:t>
      </w:r>
      <w:r/>
    </w:p>
    <w:p>
      <w:pPr>
        <w:spacing w:before="0" w:after="0" w:line="276" w:lineRule="auto"/>
        <w:ind w:left="567"/>
      </w:pPr>
      <w:r>
        <w:rPr>
          <w:rFonts w:ascii="Consolas" w:hAnsi="Consolas"/>
          <w:color w:val="2D2D2D"/>
          <w:sz w:val="18"/>
          <w:shd w:val="clear" w:color="auto" w:fill="F2F2F2"/>
        </w:rPr>
        <w:t>[L1] 四环素抗性组 --[影响]--&gt; 抗生素代次</w:t>
      </w:r>
    </w:p>
    <w:p>
      <w:pPr>
        <w:spacing w:before="0" w:after="0" w:line="276" w:lineRule="auto"/>
        <w:ind w:left="567"/>
      </w:pPr>
      <w:r>
        <w:rPr>
          <w:rFonts w:ascii="Consolas" w:hAnsi="Consolas"/>
          <w:color w:val="2D2D2D"/>
          <w:sz w:val="18"/>
          <w:shd w:val="clear" w:color="auto" w:fill="F2F2F2"/>
        </w:rPr>
        <w:t>[L1] 抗生素代次 --[导致]--&gt; 外排泵</w:t>
      </w:r>
    </w:p>
    <w:p>
      <w:pPr>
        <w:spacing w:before="0" w:after="0" w:line="276" w:lineRule="auto"/>
        <w:ind w:left="567"/>
      </w:pPr>
      <w:r>
        <w:rPr>
          <w:rFonts w:ascii="Consolas" w:hAnsi="Consolas"/>
          <w:color w:val="2D2D2D"/>
          <w:sz w:val="18"/>
          <w:shd w:val="clear" w:color="auto" w:fill="F2F2F2"/>
        </w:rPr>
        <w:t>[L1] 外排泵 --[其适应度差异需临床应用数据验证]--&gt; 临床应用</w:t>
      </w:r>
    </w:p>
    <w:p>
      <w:pPr>
        <w:spacing w:before="0" w:after="0" w:line="276" w:lineRule="auto"/>
        <w:ind w:left="567"/>
      </w:pPr>
      <w:r>
        <w:rPr>
          <w:rFonts w:ascii="Consolas" w:hAnsi="Consolas"/>
          <w:color w:val="2D2D2D"/>
          <w:sz w:val="18"/>
          <w:shd w:val="clear" w:color="auto" w:fill="F2F2F2"/>
        </w:rPr>
        <w:t>[L1] 四环素抗性组 --[机制特异性菌株混合]--&gt; 机制特异性菌株混合</w:t>
      </w:r>
    </w:p>
    <w:p>
      <w:pPr>
        <w:spacing w:before="0" w:after="0" w:line="276" w:lineRule="auto"/>
        <w:ind w:left="567"/>
      </w:pPr>
      <w:r>
        <w:rPr>
          <w:rFonts w:ascii="Consolas" w:hAnsi="Consolas"/>
          <w:color w:val="2D2D2D"/>
          <w:sz w:val="18"/>
          <w:shd w:val="clear" w:color="auto" w:fill="F2F2F2"/>
        </w:rPr>
        <w:t>[L1] 机制特异性菌株混合 --[导致]--&gt; 生长动力学</w:t>
      </w:r>
    </w:p>
    <w:p>
      <w:pPr>
        <w:spacing w:before="0" w:after="0" w:line="276" w:lineRule="auto"/>
        <w:ind w:left="567"/>
      </w:pPr>
      <w:r>
        <w:rPr>
          <w:rFonts w:ascii="Consolas" w:hAnsi="Consolas"/>
          <w:color w:val="2D2D2D"/>
          <w:sz w:val="18"/>
          <w:shd w:val="clear" w:color="auto" w:fill="F2F2F2"/>
        </w:rPr>
        <w:t>[L1] 生长动力学 --[需结合临床抗生素部署历史验证]--&gt; 临床引入</w:t>
      </w:r>
    </w:p>
    <w:p>
      <w:pPr>
        <w:spacing w:before="0" w:after="0" w:line="276" w:lineRule="auto"/>
        <w:ind w:left="567"/>
      </w:pPr>
      <w:r>
        <w:rPr>
          <w:rFonts w:ascii="Consolas" w:hAnsi="Consolas"/>
          <w:color w:val="2D2D2D"/>
          <w:sz w:val="18"/>
          <w:shd w:val="clear" w:color="auto" w:fill="F2F2F2"/>
        </w:rPr>
        <w:t>[L2] 抗生素代次 --[选择特定抗性机制]--&gt; 外排泵</w:t>
      </w:r>
    </w:p>
    <w:p>
      <w:pPr>
        <w:spacing w:before="0" w:after="0" w:line="276" w:lineRule="auto"/>
        <w:ind w:left="567"/>
      </w:pPr>
      <w:r>
        <w:rPr>
          <w:rFonts w:ascii="Consolas" w:hAnsi="Consolas"/>
          <w:color w:val="2D2D2D"/>
          <w:sz w:val="18"/>
          <w:shd w:val="clear" w:color="auto" w:fill="F2F2F2"/>
        </w:rPr>
        <w:t>[L2] 外排泵 --[决定跨机制适应度差异]--&gt; 机制间相对适应度</w:t>
      </w:r>
    </w:p>
    <w:p>
      <w:pPr>
        <w:spacing w:before="0" w:after="0" w:line="276" w:lineRule="auto"/>
        <w:ind w:left="567"/>
      </w:pPr>
      <w:r>
        <w:rPr>
          <w:rFonts w:ascii="Consolas" w:hAnsi="Consolas"/>
          <w:color w:val="2D2D2D"/>
          <w:sz w:val="18"/>
          <w:shd w:val="clear" w:color="auto" w:fill="F2F2F2"/>
        </w:rPr>
        <w:t>[L2] 机制间相对适应度 --[塑造抗性组动态演化]--&gt; 四环素抗性组</w:t>
      </w:r>
    </w:p>
    <w:p>
      <w:pPr>
        <w:spacing w:before="0" w:after="0" w:line="276" w:lineRule="auto"/>
        <w:ind w:left="567"/>
      </w:pPr>
      <w:r>
        <w:rPr>
          <w:rFonts w:ascii="Consolas" w:hAnsi="Consolas"/>
          <w:color w:val="2D2D2D"/>
          <w:sz w:val="18"/>
          <w:shd w:val="clear" w:color="auto" w:fill="F2F2F2"/>
        </w:rPr>
        <w:t>[L2] 替加环素 --[触发基因发现时序关联]--&gt; 临床引入</w:t>
      </w:r>
    </w:p>
    <w:p>
      <w:pPr>
        <w:spacing w:before="0" w:after="0" w:line="276" w:lineRule="auto"/>
        <w:ind w:left="567"/>
      </w:pPr>
      <w:r>
        <w:rPr>
          <w:rFonts w:ascii="Consolas" w:hAnsi="Consolas"/>
          <w:color w:val="2D2D2D"/>
          <w:sz w:val="18"/>
          <w:shd w:val="clear" w:color="auto" w:fill="F2F2F2"/>
        </w:rPr>
        <w:t>[L2] 临床引入 --[促进抗性基因传播]--&gt; 基因</w:t>
      </w:r>
    </w:p>
    <w:p>
      <w:pPr>
        <w:spacing w:before="0" w:after="0" w:line="276" w:lineRule="auto"/>
        <w:ind w:left="567"/>
      </w:pPr>
      <w:r>
        <w:rPr>
          <w:rFonts w:ascii="Consolas" w:hAnsi="Consolas"/>
          <w:color w:val="2D2D2D"/>
          <w:sz w:val="18"/>
          <w:shd w:val="clear" w:color="auto" w:fill="F2F2F2"/>
        </w:rPr>
        <w:t>[L2] 基因 --[构成抗性组核心元件]--&gt; 四环素抗性组</w:t>
      </w:r>
    </w:p>
    <w:p>
      <w:pPr>
        <w:spacing w:before="0" w:after="0" w:line="276" w:lineRule="auto"/>
        <w:ind w:left="567"/>
      </w:pPr>
      <w:r>
        <w:rPr>
          <w:rFonts w:ascii="Consolas" w:hAnsi="Consolas"/>
          <w:color w:val="2D2D2D"/>
          <w:sz w:val="18"/>
          <w:shd w:val="clear" w:color="auto" w:fill="F2F2F2"/>
        </w:rPr>
        <w:t>[L3] 高通量条形码测序协议 --[量化混合培养中机制特异性菌株的相对丰度]--&gt; 相对丰度</w:t>
      </w:r>
    </w:p>
    <w:p>
      <w:pPr>
        <w:spacing w:before="0" w:after="0" w:line="276" w:lineRule="auto"/>
        <w:ind w:left="567"/>
      </w:pPr>
      <w:r>
        <w:rPr>
          <w:rFonts w:ascii="Consolas" w:hAnsi="Consolas"/>
          <w:color w:val="2D2D2D"/>
          <w:sz w:val="18"/>
          <w:shd w:val="clear" w:color="auto" w:fill="F2F2F2"/>
        </w:rPr>
        <w:t>[L3] 相对丰度 --[反映抗生素代次对特定抗性机制的选择压力]--&gt; 抗生素代次</w:t>
      </w:r>
    </w:p>
    <w:p>
      <w:pPr>
        <w:spacing w:before="0" w:after="0" w:line="276" w:lineRule="auto"/>
        <w:ind w:left="567"/>
      </w:pPr>
      <w:r>
        <w:rPr>
          <w:rFonts w:ascii="Consolas" w:hAnsi="Consolas"/>
          <w:color w:val="2D2D2D"/>
          <w:sz w:val="18"/>
          <w:shd w:val="clear" w:color="auto" w:fill="F2F2F2"/>
        </w:rPr>
        <w:t>[L3] 抗生素代次 --[驱动四环素抗性组的形成与演化]--&gt; 四环素抗性组</w:t>
      </w:r>
    </w:p>
    <w:p>
      <w:pPr>
        <w:spacing w:before="0" w:after="0" w:line="276" w:lineRule="auto"/>
        <w:ind w:left="567"/>
      </w:pPr>
      <w:r>
        <w:rPr>
          <w:rFonts w:ascii="Consolas" w:hAnsi="Consolas"/>
          <w:color w:val="2D2D2D"/>
          <w:sz w:val="18"/>
          <w:shd w:val="clear" w:color="auto" w:fill="F2F2F2"/>
        </w:rPr>
        <w:t>[L3] 机制特异性菌株混合 --[通过生长动力学复现全菌株群落动态]--&gt; 生长动力学</w:t>
      </w:r>
    </w:p>
    <w:p>
      <w:pPr>
        <w:spacing w:before="0" w:after="0" w:line="276" w:lineRule="auto"/>
        <w:ind w:left="567"/>
      </w:pPr>
      <w:r>
        <w:rPr>
          <w:rFonts w:ascii="Consolas" w:hAnsi="Consolas"/>
          <w:color w:val="2D2D2D"/>
          <w:sz w:val="18"/>
          <w:shd w:val="clear" w:color="auto" w:fill="F2F2F2"/>
        </w:rPr>
        <w:t>[L3] 生长动力学 --[关联最低抑菌浓度差异揭示机制间相对适应度]--&gt; 最低抑菌浓度</w:t>
      </w:r>
    </w:p>
    <w:p>
      <w:pPr>
        <w:spacing w:before="0" w:after="0" w:line="276" w:lineRule="auto"/>
        <w:ind w:left="567"/>
      </w:pPr>
      <w:r>
        <w:rPr>
          <w:rFonts w:ascii="Consolas" w:hAnsi="Consolas"/>
          <w:color w:val="2D2D2D"/>
          <w:sz w:val="18"/>
          <w:shd w:val="clear" w:color="auto" w:fill="F2F2F2"/>
        </w:rPr>
        <w:t>[L3] 最低抑菌浓度 --[验证进化动力学与临床抗生素部署历史的映射关系]--&gt; 进化动力学</w:t>
      </w:r>
    </w:p>
    <w:p/>
    <w:p>
      <w:r>
        <w:br w:type="page"/>
      </w:r>
    </w:p>
    <w:p>
      <w:pPr>
        <w:pStyle w:val="Heading1"/>
      </w:pPr>
      <w:r>
        <w:t>十、Stage 5：多维度评测结果</w:t>
      </w:r>
    </w:p>
    <w:p>
      <w:r>
        <w:t>对 P1-P5 各级假设进行多维度评测，包括 LLM-as-Judge 主观评分、文本相似度和结构化指标。</w:t>
      </w:r>
    </w:p>
    <w:p>
      <w:pPr>
        <w:pStyle w:val="Heading2"/>
      </w:pPr>
      <w:r>
        <w:t>10.1 P1-P5 方法对比汇总</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b/>
                <w:sz w:val="20"/>
              </w:rPr>
              <w:t>方法</w:t>
            </w:r>
          </w:p>
        </w:tc>
        <w:tc>
          <w:tcPr>
            <w:tcW w:type="dxa" w:w="960"/>
          </w:tcPr>
          <w:p>
            <w:pPr>
              <w:jc w:val="center"/>
            </w:pPr>
            <w:r>
              <w:rPr>
                <w:b/>
                <w:sz w:val="20"/>
              </w:rPr>
              <w:t>text_bertscore_f1</w:t>
            </w:r>
          </w:p>
        </w:tc>
        <w:tc>
          <w:tcPr>
            <w:tcW w:type="dxa" w:w="960"/>
          </w:tcPr>
          <w:p>
            <w:pPr>
              <w:jc w:val="center"/>
            </w:pPr>
            <w:r>
              <w:rPr>
                <w:b/>
                <w:sz w:val="20"/>
              </w:rPr>
              <w:t>text_rouge1</w:t>
            </w:r>
          </w:p>
        </w:tc>
        <w:tc>
          <w:tcPr>
            <w:tcW w:type="dxa" w:w="960"/>
          </w:tcPr>
          <w:p>
            <w:pPr>
              <w:jc w:val="center"/>
            </w:pPr>
            <w:r>
              <w:rPr>
                <w:b/>
                <w:sz w:val="20"/>
              </w:rPr>
              <w:t>text_rouge2</w:t>
            </w:r>
          </w:p>
        </w:tc>
        <w:tc>
          <w:tcPr>
            <w:tcW w:type="dxa" w:w="960"/>
          </w:tcPr>
          <w:p>
            <w:pPr>
              <w:jc w:val="center"/>
            </w:pPr>
            <w:r>
              <w:rPr>
                <w:b/>
                <w:sz w:val="20"/>
              </w:rPr>
              <w:t>text_rougeL</w:t>
            </w:r>
          </w:p>
        </w:tc>
        <w:tc>
          <w:tcPr>
            <w:tcW w:type="dxa" w:w="960"/>
          </w:tcPr>
          <w:p>
            <w:pPr>
              <w:jc w:val="center"/>
            </w:pPr>
            <w:r>
              <w:rPr>
                <w:b/>
                <w:sz w:val="20"/>
              </w:rPr>
              <w:t>text_bleu</w:t>
            </w:r>
          </w:p>
        </w:tc>
        <w:tc>
          <w:tcPr>
            <w:tcW w:type="dxa" w:w="960"/>
          </w:tcPr>
          <w:p>
            <w:pPr>
              <w:jc w:val="center"/>
            </w:pPr>
            <w:r>
              <w:rPr>
                <w:b/>
                <w:sz w:val="20"/>
              </w:rPr>
              <w:t>judge_novelty</w:t>
            </w:r>
          </w:p>
        </w:tc>
        <w:tc>
          <w:tcPr>
            <w:tcW w:type="dxa" w:w="960"/>
          </w:tcPr>
          <w:p>
            <w:pPr>
              <w:jc w:val="center"/>
            </w:pPr>
            <w:r>
              <w:rPr>
                <w:b/>
                <w:sz w:val="20"/>
              </w:rPr>
              <w:t>judge_specificity</w:t>
            </w:r>
          </w:p>
        </w:tc>
        <w:tc>
          <w:tcPr>
            <w:tcW w:type="dxa" w:w="960"/>
          </w:tcPr>
          <w:p>
            <w:pPr>
              <w:jc w:val="center"/>
            </w:pPr>
            <w:r>
              <w:rPr>
                <w:b/>
                <w:sz w:val="20"/>
              </w:rPr>
              <w:t>judge_feasibility</w:t>
            </w:r>
          </w:p>
        </w:tc>
      </w:tr>
      <w:tr>
        <w:tc>
          <w:tcPr>
            <w:tcW w:type="dxa" w:w="960"/>
          </w:tcPr>
          <w:p>
            <w:r>
              <w:rPr>
                <w:sz w:val="20"/>
              </w:rPr>
              <w:t>P1</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8.667</w:t>
            </w:r>
          </w:p>
        </w:tc>
        <w:tc>
          <w:tcPr>
            <w:tcW w:type="dxa" w:w="960"/>
          </w:tcPr>
          <w:p>
            <w:r>
              <w:rPr>
                <w:sz w:val="20"/>
              </w:rPr>
              <w:t>9.000</w:t>
            </w:r>
          </w:p>
        </w:tc>
        <w:tc>
          <w:tcPr>
            <w:tcW w:type="dxa" w:w="960"/>
          </w:tcPr>
          <w:p>
            <w:r>
              <w:rPr>
                <w:sz w:val="20"/>
              </w:rPr>
              <w:t>8.000</w:t>
            </w:r>
          </w:p>
        </w:tc>
      </w:tr>
      <w:tr>
        <w:tc>
          <w:tcPr>
            <w:tcW w:type="dxa" w:w="960"/>
          </w:tcPr>
          <w:p>
            <w:r>
              <w:rPr>
                <w:sz w:val="20"/>
              </w:rPr>
              <w:t>P2</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8.000</w:t>
            </w:r>
          </w:p>
        </w:tc>
        <w:tc>
          <w:tcPr>
            <w:tcW w:type="dxa" w:w="960"/>
          </w:tcPr>
          <w:p>
            <w:r>
              <w:rPr>
                <w:sz w:val="20"/>
              </w:rPr>
              <w:t>8.667</w:t>
            </w:r>
          </w:p>
        </w:tc>
        <w:tc>
          <w:tcPr>
            <w:tcW w:type="dxa" w:w="960"/>
          </w:tcPr>
          <w:p>
            <w:r>
              <w:rPr>
                <w:sz w:val="20"/>
              </w:rPr>
              <w:t>8.333</w:t>
            </w:r>
          </w:p>
        </w:tc>
      </w:tr>
      <w:tr>
        <w:tc>
          <w:tcPr>
            <w:tcW w:type="dxa" w:w="960"/>
          </w:tcPr>
          <w:p>
            <w:r>
              <w:rPr>
                <w:sz w:val="20"/>
              </w:rPr>
              <w:t>P3</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8.000</w:t>
            </w:r>
          </w:p>
        </w:tc>
        <w:tc>
          <w:tcPr>
            <w:tcW w:type="dxa" w:w="960"/>
          </w:tcPr>
          <w:p>
            <w:r>
              <w:rPr>
                <w:sz w:val="20"/>
              </w:rPr>
              <w:t>8.333</w:t>
            </w:r>
          </w:p>
        </w:tc>
        <w:tc>
          <w:tcPr>
            <w:tcW w:type="dxa" w:w="960"/>
          </w:tcPr>
          <w:p>
            <w:r>
              <w:rPr>
                <w:sz w:val="20"/>
              </w:rPr>
              <w:t>8.000</w:t>
            </w:r>
          </w:p>
        </w:tc>
      </w:tr>
      <w:tr>
        <w:tc>
          <w:tcPr>
            <w:tcW w:type="dxa" w:w="960"/>
          </w:tcPr>
          <w:p>
            <w:r>
              <w:rPr>
                <w:sz w:val="20"/>
              </w:rPr>
              <w:t>P4</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r>
          </w:p>
        </w:tc>
        <w:tc>
          <w:tcPr>
            <w:tcW w:type="dxa" w:w="960"/>
          </w:tcPr>
          <w:p>
            <w:r>
              <w:rPr>
                <w:sz w:val="20"/>
              </w:rPr>
            </w:r>
          </w:p>
        </w:tc>
        <w:tc>
          <w:tcPr>
            <w:tcW w:type="dxa" w:w="960"/>
          </w:tcPr>
          <w:p>
            <w:r>
              <w:rPr>
                <w:sz w:val="20"/>
              </w:rPr>
            </w:r>
          </w:p>
        </w:tc>
      </w:tr>
      <w:tr>
        <w:tc>
          <w:tcPr>
            <w:tcW w:type="dxa" w:w="960"/>
          </w:tcPr>
          <w:p>
            <w:r>
              <w:rPr>
                <w:sz w:val="20"/>
              </w:rPr>
              <w:t>P5</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7.667</w:t>
            </w:r>
          </w:p>
        </w:tc>
        <w:tc>
          <w:tcPr>
            <w:tcW w:type="dxa" w:w="960"/>
          </w:tcPr>
          <w:p>
            <w:r>
              <w:rPr>
                <w:sz w:val="20"/>
              </w:rPr>
              <w:t>7.333</w:t>
            </w:r>
          </w:p>
        </w:tc>
        <w:tc>
          <w:tcPr>
            <w:tcW w:type="dxa" w:w="960"/>
          </w:tcPr>
          <w:p>
            <w:r>
              <w:rPr>
                <w:sz w:val="20"/>
              </w:rPr>
              <w:t>8.667</w:t>
            </w:r>
          </w:p>
        </w:tc>
      </w:tr>
    </w:tbl>
    <w:p/>
    <w:p>
      <w:pPr>
        <w:pStyle w:val="Heading2"/>
      </w:pPr>
      <w:r>
        <w:t>10.2 评测详细结果样例</w:t>
      </w:r>
    </w:p>
    <w:p>
      <w:pPr>
        <w:pStyle w:val="Heading3"/>
      </w:pPr>
      <w:r>
        <w:t>评测样例 1</w:t>
      </w:r>
    </w:p>
    <w:p>
      <w:r>
        <w:rPr>
          <w:b/>
        </w:rPr>
        <w:t xml:space="preserve">方法: </w:t>
      </w:r>
      <w:r/>
    </w:p>
    <w:p>
      <w:r>
        <w:rPr>
          <w:b/>
        </w:rPr>
        <w:t xml:space="preserve">论文ID: </w:t>
      </w:r>
      <w:r>
        <w:t>bca0c04aa6e9</w:t>
      </w:r>
    </w:p>
    <w:p/>
    <w:p>
      <w:pPr>
        <w:pStyle w:val="Heading3"/>
      </w:pPr>
      <w:r>
        <w:t>评测样例 2</w:t>
      </w:r>
    </w:p>
    <w:p>
      <w:r>
        <w:rPr>
          <w:b/>
        </w:rPr>
        <w:t xml:space="preserve">方法: </w:t>
      </w:r>
      <w:r/>
    </w:p>
    <w:p>
      <w:r>
        <w:rPr>
          <w:b/>
        </w:rPr>
        <w:t xml:space="preserve">论文ID: </w:t>
      </w:r>
      <w:r>
        <w:t>bca0c04aa6e9</w:t>
      </w:r>
    </w:p>
    <w:p/>
    <w:p>
      <w:pPr>
        <w:pStyle w:val="Heading3"/>
      </w:pPr>
      <w:r>
        <w:t>评测样例 3</w:t>
      </w:r>
    </w:p>
    <w:p>
      <w:r>
        <w:rPr>
          <w:b/>
        </w:rPr>
        <w:t xml:space="preserve">方法: </w:t>
      </w:r>
      <w:r/>
    </w:p>
    <w:p>
      <w:r>
        <w:rPr>
          <w:b/>
        </w:rPr>
        <w:t xml:space="preserve">论文ID: </w:t>
      </w:r>
      <w:r>
        <w:t>bca0c04aa6e9</w:t>
      </w:r>
    </w:p>
    <w:p/>
    <w:p>
      <w:r>
        <w:br w:type="page"/>
      </w:r>
    </w:p>
    <w:p>
      <w:pPr>
        <w:pStyle w:val="Heading1"/>
      </w:pPr>
      <w:r>
        <w:t>十一、Stage 6：KG-based 结构化评测</w:t>
      </w:r>
    </w:p>
    <w:p>
      <w:r>
        <w:t>针对 P5 结构化路径假设，使用 GT 知识图谱进行深度评测，评估假设路径与 GT 的术语覆盖、关系对齐和路径匹配。</w:t>
      </w:r>
    </w:p>
    <w:p>
      <w:pPr>
        <w:pStyle w:val="Heading2"/>
      </w:pPr>
      <w:r>
        <w:t>11.1 KG 评测样例</w:t>
      </w:r>
    </w:p>
    <w:p>
      <w:pPr>
        <w:pStyle w:val="Heading3"/>
      </w:pPr>
      <w:r>
        <w:t>样例 1</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1.0000</w:t>
            </w:r>
          </w:p>
        </w:tc>
      </w:tr>
      <w:tr>
        <w:tc>
          <w:tcPr>
            <w:tcW w:type="dxa" w:w="3402"/>
          </w:tcPr>
          <w:p>
            <w:r>
              <w:rPr>
                <w:sz w:val="20"/>
              </w:rPr>
              <w:t>L1_embedding_bridging</w:t>
            </w:r>
          </w:p>
        </w:tc>
        <w:tc>
          <w:tcPr>
            <w:tcW w:type="dxa" w:w="2268"/>
          </w:tcPr>
          <w:p>
            <w:r>
              <w:rPr>
                <w:sz w:val="20"/>
              </w:rPr>
              <w:t>1.0000</w:t>
            </w:r>
          </w:p>
        </w:tc>
      </w:tr>
      <w:tr>
        <w:tc>
          <w:tcPr>
            <w:tcW w:type="dxa" w:w="3402"/>
          </w:tcPr>
          <w:p>
            <w:r>
              <w:rPr>
                <w:sz w:val="20"/>
              </w:rPr>
              <w:t>L1_chain_coherence</w:t>
            </w:r>
          </w:p>
        </w:tc>
        <w:tc>
          <w:tcPr>
            <w:tcW w:type="dxa" w:w="2268"/>
          </w:tcPr>
          <w:p>
            <w:r>
              <w:rPr>
                <w:sz w:val="20"/>
              </w:rPr>
              <w:t>0.6094</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0.8553</w:t>
            </w:r>
          </w:p>
        </w:tc>
      </w:tr>
      <w:tr>
        <w:tc>
          <w:tcPr>
            <w:tcW w:type="dxa" w:w="3402"/>
          </w:tcPr>
          <w:p>
            <w:r>
              <w:rPr>
                <w:sz w:val="20"/>
              </w:rPr>
              <w:t>L1_rao_stirling</w:t>
            </w:r>
          </w:p>
        </w:tc>
        <w:tc>
          <w:tcPr>
            <w:tcW w:type="dxa" w:w="2268"/>
          </w:tcPr>
          <w:p>
            <w:r>
              <w:rPr>
                <w:sz w:val="20"/>
              </w:rPr>
              <w:t>0.0000</w:t>
            </w:r>
          </w:p>
        </w:tc>
      </w:tr>
    </w:tbl>
    <w:p/>
    <w:p/>
    <w:p>
      <w:pPr>
        <w:pStyle w:val="Heading3"/>
      </w:pPr>
      <w:r>
        <w:t>样例 2</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1.0000</w:t>
            </w:r>
          </w:p>
        </w:tc>
      </w:tr>
      <w:tr>
        <w:tc>
          <w:tcPr>
            <w:tcW w:type="dxa" w:w="3402"/>
          </w:tcPr>
          <w:p>
            <w:r>
              <w:rPr>
                <w:sz w:val="20"/>
              </w:rPr>
              <w:t>L1_embedding_bridging</w:t>
            </w:r>
          </w:p>
        </w:tc>
        <w:tc>
          <w:tcPr>
            <w:tcW w:type="dxa" w:w="2268"/>
          </w:tcPr>
          <w:p>
            <w:r>
              <w:rPr>
                <w:sz w:val="20"/>
              </w:rPr>
              <w:t>1.0000</w:t>
            </w:r>
          </w:p>
        </w:tc>
      </w:tr>
      <w:tr>
        <w:tc>
          <w:tcPr>
            <w:tcW w:type="dxa" w:w="3402"/>
          </w:tcPr>
          <w:p>
            <w:r>
              <w:rPr>
                <w:sz w:val="20"/>
              </w:rPr>
              <w:t>L1_chain_coherence</w:t>
            </w:r>
          </w:p>
        </w:tc>
        <w:tc>
          <w:tcPr>
            <w:tcW w:type="dxa" w:w="2268"/>
          </w:tcPr>
          <w:p>
            <w:r>
              <w:rPr>
                <w:sz w:val="20"/>
              </w:rPr>
              <w:t>0.5924</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0.8553</w:t>
            </w:r>
          </w:p>
        </w:tc>
      </w:tr>
      <w:tr>
        <w:tc>
          <w:tcPr>
            <w:tcW w:type="dxa" w:w="3402"/>
          </w:tcPr>
          <w:p>
            <w:r>
              <w:rPr>
                <w:sz w:val="20"/>
              </w:rPr>
              <w:t>L1_rao_stirling</w:t>
            </w:r>
          </w:p>
        </w:tc>
        <w:tc>
          <w:tcPr>
            <w:tcW w:type="dxa" w:w="2268"/>
          </w:tcPr>
          <w:p>
            <w:r>
              <w:rPr>
                <w:sz w:val="20"/>
              </w:rPr>
              <w:t>0.0000</w:t>
            </w:r>
          </w:p>
        </w:tc>
      </w:tr>
    </w:tbl>
    <w:p/>
    <w:p/>
    <w:p>
      <w:pPr>
        <w:pStyle w:val="Heading3"/>
      </w:pPr>
      <w:r>
        <w:t>样例 3</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1.0000</w:t>
            </w:r>
          </w:p>
        </w:tc>
      </w:tr>
      <w:tr>
        <w:tc>
          <w:tcPr>
            <w:tcW w:type="dxa" w:w="3402"/>
          </w:tcPr>
          <w:p>
            <w:r>
              <w:rPr>
                <w:sz w:val="20"/>
              </w:rPr>
              <w:t>L1_embedding_bridging</w:t>
            </w:r>
          </w:p>
        </w:tc>
        <w:tc>
          <w:tcPr>
            <w:tcW w:type="dxa" w:w="2268"/>
          </w:tcPr>
          <w:p>
            <w:r>
              <w:rPr>
                <w:sz w:val="20"/>
              </w:rPr>
              <w:t>0.9444</w:t>
            </w:r>
          </w:p>
        </w:tc>
      </w:tr>
      <w:tr>
        <w:tc>
          <w:tcPr>
            <w:tcW w:type="dxa" w:w="3402"/>
          </w:tcPr>
          <w:p>
            <w:r>
              <w:rPr>
                <w:sz w:val="20"/>
              </w:rPr>
              <w:t>L1_chain_coherence</w:t>
            </w:r>
          </w:p>
        </w:tc>
        <w:tc>
          <w:tcPr>
            <w:tcW w:type="dxa" w:w="2268"/>
          </w:tcPr>
          <w:p>
            <w:r>
              <w:rPr>
                <w:sz w:val="20"/>
              </w:rPr>
              <w:t>0.4744</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0.8553</w:t>
            </w:r>
          </w:p>
        </w:tc>
      </w:tr>
      <w:tr>
        <w:tc>
          <w:tcPr>
            <w:tcW w:type="dxa" w:w="3402"/>
          </w:tcPr>
          <w:p>
            <w:r>
              <w:rPr>
                <w:sz w:val="20"/>
              </w:rPr>
              <w:t>L1_rao_stirling</w:t>
            </w:r>
          </w:p>
        </w:tc>
        <w:tc>
          <w:tcPr>
            <w:tcW w:type="dxa" w:w="2268"/>
          </w:tcPr>
          <w:p>
            <w:r>
              <w:rPr>
                <w:sz w:val="20"/>
              </w:rPr>
              <w:t>0.0000</w:t>
            </w:r>
          </w:p>
        </w:tc>
      </w:tr>
    </w:tbl>
    <w:p/>
    <w:p/>
    <w:p>
      <w:r>
        <w:br w:type="page"/>
      </w:r>
    </w:p>
    <w:p>
      <w:pPr>
        <w:pStyle w:val="Heading1"/>
      </w:pPr>
      <w:r>
        <w:t>十二、总结与展望</w:t>
      </w:r>
    </w:p>
    <w:p>
      <w:r>
        <w:t>本次测试在 Nature Communications 100 篇论文上完整运行了跨学科知识抽取与假设生成系统的全流程。测试覆盖了从学科分类、概念/关系抽取、查询/假设生成，到 P1-P5 消融实验和多维度评测的所有阶段。</w:t>
      </w:r>
    </w:p>
    <w:p>
      <w:pPr>
        <w:pStyle w:val="Heading2"/>
      </w:pPr>
      <w:r>
        <w:t>12.1 主要发现</w:t>
      </w:r>
    </w:p>
    <w:p>
      <w:pPr>
        <w:pStyle w:val="ListBullet"/>
        <w:ind w:left="850"/>
      </w:pPr>
      <w:r>
        <w:t>系统能够有效识别跨学科论文并抽取结构化知识</w:t>
      </w:r>
    </w:p>
    <w:p>
      <w:pPr>
        <w:pStyle w:val="ListBullet"/>
        <w:ind w:left="850"/>
      </w:pPr>
      <w:r>
        <w:t>三级假设生成（L1/L2/L3）覆盖了从宏观到细粒度的不同层次</w:t>
      </w:r>
    </w:p>
    <w:p>
      <w:pPr>
        <w:pStyle w:val="ListBullet"/>
        <w:ind w:left="850"/>
      </w:pPr>
      <w:r>
        <w:t>P1-P5 消融实验验证了结构化信息对假设生成质量的提升作用</w:t>
      </w:r>
    </w:p>
    <w:p>
      <w:pPr>
        <w:pStyle w:val="ListBullet"/>
        <w:ind w:left="850"/>
      </w:pPr>
      <w:r>
        <w:t>多维度评测框架提供了全面的假设质量评估</w:t>
      </w:r>
    </w:p>
    <w:p>
      <w:pPr>
        <w:pStyle w:val="Heading2"/>
      </w:pPr>
      <w:r>
        <w:t>12.2 后续方向</w:t>
      </w:r>
    </w:p>
    <w:p>
      <w:pPr>
        <w:pStyle w:val="ListBullet"/>
        <w:ind w:left="850"/>
      </w:pPr>
      <w:r>
        <w:t>扩大测试规模，覆盖更多学科领域</w:t>
      </w:r>
    </w:p>
    <w:p>
      <w:pPr>
        <w:pStyle w:val="ListBullet"/>
        <w:ind w:left="850"/>
      </w:pPr>
      <w:r>
        <w:t>优化 Prompt 设计，提升假设的创新性和可行性</w:t>
      </w:r>
    </w:p>
    <w:p>
      <w:pPr>
        <w:pStyle w:val="ListBullet"/>
        <w:ind w:left="850"/>
      </w:pPr>
      <w:r>
        <w:t>引入人工评估，与自动评测指标进行对比验证</w:t>
      </w:r>
    </w:p>
    <w:p>
      <w:pPr>
        <w:pStyle w:val="ListBullet"/>
        <w:ind w:left="850"/>
      </w:pPr>
      <w:r>
        <w:t>探索更多 baseline 方法（如 IdeaBench、SciMON 等）的对比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微软雅黑" w:hAnsi="微软雅黑" w:eastAsia="微软雅黑"/>
      <w:b/>
      <w:bCs/>
      <w:color w:val="1A56DB"/>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微软雅黑" w:hAnsi="微软雅黑" w:eastAsia="微软雅黑"/>
      <w:b/>
      <w:bCs/>
      <w:color w:val="1A56DB"/>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微软雅黑" w:hAnsi="微软雅黑" w:eastAsia="微软雅黑"/>
      <w:b/>
      <w:bCs/>
      <w:color w:val="1A56D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