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color w:val="1A56DB"/>
          <w:sz w:val="52"/>
        </w:rPr>
        <w:t>CrossDisc-Bench Pipeline Walkthrough</w:t>
      </w:r>
    </w:p>
    <w:p>
      <w:pPr>
        <w:jc w:val="center"/>
      </w:pPr>
      <w:r>
        <w:rPr>
          <w:color w:val="666666"/>
          <w:sz w:val="28"/>
        </w:rPr>
        <w:t>跨学科假设生成基准测试 — 全流程实例展示 (v6)</w:t>
      </w:r>
    </w:p>
    <w:p>
      <w:pPr>
        <w:jc w:val="center"/>
      </w:pPr>
      <w:r>
        <w:rPr>
          <w:sz w:val="22"/>
        </w:rPr>
        <w:t>数据来源: Nature Communications | 处理论文: 44 篇 | GT条目: 39 条</w:t>
      </w:r>
    </w:p>
    <w:p/>
    <w:p>
      <w:pPr>
        <w:pStyle w:val="Heading1"/>
      </w:pPr>
      <w:r>
        <w:t>1. Pipeline Overview (流程总览)</w:t>
      </w:r>
    </w:p>
    <w:p>
      <w:r>
        <w:t>CrossDisc-Bench 是一个面向跨学科假设生成的基准测试系统。它从 Nature Communications 论文出发，通过多阶段 LLM 管线构建知识图谱、生成跨学科假设路径，并构建基于证据的 Ground Truth 数据集。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20"/>
              </w:rPr>
              <w:t>阶段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20"/>
              </w:rPr>
              <w:t>名称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20"/>
              </w:rPr>
              <w:t>输入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20"/>
              </w:rPr>
              <w:t>输出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Stage 1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学科分类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论文标题+摘要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主学科+副学科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Stage 2a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概念抽取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论文+学科分类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多学科概念列表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Stage 2b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关系抽取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概念列表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学科间关系三元组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Stage 2c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查询生成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概念+关系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L1/L2/L3 层次查询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Stage 2d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假设路径生成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查询+KG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L1/L2/L3 假设路径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Stage 3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GT 构建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抽取结果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Benchmark Ground Truth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Stage 4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P1-P5 评估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论文+提示模板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多维度评分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Stage 5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综合分析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P1-P5+KG指标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评估报告</w:t>
            </w:r>
          </w:p>
        </w:tc>
      </w:tr>
    </w:tbl>
    <w:p/>
    <w:p>
      <w:pPr>
        <w:pStyle w:val="Heading1"/>
      </w:pPr>
      <w:r>
        <w:t>2. 示例论文 (Example Paper)</w:t>
      </w:r>
    </w:p>
    <w:p>
      <w:pPr>
        <w:spacing w:before="120"/>
      </w:pPr>
      <w:r>
        <w:rPr>
          <w:b/>
          <w:color w:val="FFFFFF"/>
          <w:sz w:val="22"/>
          <w:shd w:val="clear" w:color="auto" w:fill="1A56DB"/>
        </w:rPr>
        <w:t xml:space="preserve">  INPUT: 论文信息  </w:t>
      </w:r>
    </w:p>
    <w:p>
      <w:pPr>
        <w:ind w:left="283"/>
      </w:pPr>
      <w:r>
        <w:rPr>
          <w:sz w:val="20"/>
        </w:rPr>
      </w:r>
    </w:p>
    <w:p>
      <w:r>
        <w:rPr>
          <w:b/>
        </w:rPr>
        <w:t xml:space="preserve">Title: </w:t>
      </w:r>
      <w:r>
        <w:t>High-entropy alloy enables multi-path electron synergism and lattice oxygen activation for enhanced oxygen evolution activity</w:t>
      </w:r>
    </w:p>
    <w:p>
      <w:r>
        <w:rPr>
          <w:b/>
        </w:rPr>
        <w:t xml:space="preserve">URL: </w:t>
      </w:r>
      <w:r>
        <w:t>https://doi.org/10.1038/s41467-025-58648-y</w:t>
      </w:r>
    </w:p>
    <w:p>
      <w:r>
        <w:rPr>
          <w:b/>
        </w:rPr>
        <w:t xml:space="preserve">Abstract: </w:t>
      </w:r>
      <w:r>
        <w:t>Electrocatalytic oxygen evolution reaction (OER) is key to several energy technologies but suffers from low activity. Leveraging the lattice oxygen activation mechanism (LOM) is a strategy for boosting its activity. However, this approach faces significant thermodynamic challenges, requiring high-valent oxidation of metal ions without compromising their stability. We reveal that high-entropy alloys (HEAs) can efficiently activate the LOM through synergistic multi-path electron transfer. Specific...</w:t>
      </w:r>
    </w:p>
    <w:p/>
    <w:p>
      <w:pPr>
        <w:pStyle w:val="Heading1"/>
      </w:pPr>
      <w:r>
        <w:t>3. Stage 1: 学科分类 (Discipline Classification)</w:t>
      </w:r>
    </w:p>
    <w:p>
      <w:pPr>
        <w:spacing w:before="120"/>
      </w:pPr>
      <w:r>
        <w:rPr>
          <w:b/>
          <w:color w:val="FFFFFF"/>
          <w:sz w:val="22"/>
          <w:shd w:val="clear" w:color="auto" w:fill="1A56DB"/>
        </w:rPr>
        <w:t xml:space="preserve">  INPUT  </w:t>
      </w:r>
    </w:p>
    <w:p>
      <w:pPr>
        <w:ind w:left="283"/>
      </w:pPr>
      <w:r>
        <w:rPr>
          <w:sz w:val="20"/>
        </w:rPr>
        <w:t>Title: High-entropy alloy enables multi-path electron synergism and lattice oxygen activation for enhanced oxygen evolution activity</w:t>
        <w:br/>
        <w:t>Abstract: Electrocatalytic oxygen evolution reaction (OER) is key to several energy technologies but suffers from low activity. Leveraging the lattice oxygen activation mechanism (LOM) is a strategy for boostin...</w:t>
      </w:r>
    </w:p>
    <w:p/>
    <w:p>
      <w:pPr>
        <w:spacing w:before="120"/>
      </w:pPr>
      <w:r>
        <w:rPr>
          <w:b/>
          <w:color w:val="FFFFFF"/>
          <w:sz w:val="22"/>
          <w:shd w:val="clear" w:color="auto" w:fill="0D9276"/>
        </w:rPr>
        <w:t xml:space="preserve">  OUTPUT  </w:t>
      </w:r>
    </w:p>
    <w:p>
      <w:pPr>
        <w:ind w:left="283"/>
      </w:pPr>
      <w:r>
        <w:rPr>
          <w:sz w:val="20"/>
        </w:rPr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type="dxa" w:w="5102"/>
          </w:tcPr>
          <w:p>
            <w:pPr>
              <w:jc w:val="center"/>
            </w:pPr>
            <w:r>
              <w:rPr>
                <w:b/>
                <w:sz w:val="20"/>
              </w:rPr>
              <w:t>值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主学科 (Primary)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化学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副学科 (Secondary)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化学, 材料科学, 动力与电气工程</w:t>
            </w:r>
          </w:p>
        </w:tc>
      </w:tr>
    </w:tbl>
    <w:p/>
    <w:p>
      <w:r>
        <w:t>→ 该论文被识别为跨学科论文，主学科为「化学」，涉及 3 个学科领域。</w:t>
      </w:r>
    </w:p>
    <w:p>
      <w:pPr>
        <w:pStyle w:val="Heading1"/>
      </w:pPr>
      <w:r>
        <w:t>4. Stage 2a: 概念抽取 (Concept Extraction)</w:t>
      </w:r>
    </w:p>
    <w:p>
      <w:pPr>
        <w:spacing w:before="120"/>
      </w:pPr>
      <w:r>
        <w:rPr>
          <w:b/>
          <w:color w:val="FFFFFF"/>
          <w:sz w:val="22"/>
          <w:shd w:val="clear" w:color="auto" w:fill="1A56DB"/>
        </w:rPr>
        <w:t xml:space="preserve">  INPUT  </w:t>
      </w:r>
    </w:p>
    <w:p>
      <w:pPr>
        <w:ind w:left="283"/>
      </w:pPr>
      <w:r>
        <w:rPr>
          <w:sz w:val="20"/>
        </w:rPr>
        <w:t>论文全文 + 学科分类结果 (主: 化学, 副: 化学, 材料科学, 动力与电气工程)</w:t>
      </w:r>
    </w:p>
    <w:p/>
    <w:p>
      <w:pPr>
        <w:spacing w:before="120"/>
      </w:pPr>
      <w:r>
        <w:rPr>
          <w:b/>
          <w:color w:val="FFFFFF"/>
          <w:sz w:val="22"/>
          <w:shd w:val="clear" w:color="auto" w:fill="0D9276"/>
        </w:rPr>
        <w:t xml:space="preserve">  OUTPUT  </w:t>
      </w:r>
    </w:p>
    <w:p>
      <w:pPr>
        <w:ind w:left="283"/>
      </w:pPr>
      <w:r>
        <w:rPr>
          <w:sz w:val="20"/>
        </w:rPr>
        <w:t>共抽取 0 个概念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835"/>
          </w:tcPr>
          <w:p>
            <w:pPr>
              <w:jc w:val="center"/>
            </w:pPr>
            <w:r>
              <w:rPr>
                <w:b/>
                <w:sz w:val="20"/>
              </w:rPr>
              <w:t>Term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20"/>
              </w:rPr>
              <w:t>Normalized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20"/>
              </w:rPr>
              <w:t>Discipline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20"/>
              </w:rPr>
              <w:t>Confidence</w:t>
            </w:r>
          </w:p>
        </w:tc>
      </w:tr>
    </w:tbl>
    <w:p/>
    <w:p>
      <w:pPr>
        <w:pStyle w:val="Heading1"/>
      </w:pPr>
      <w:r>
        <w:t>5. Stage 2b: 关系抽取 (Relation Extraction)</w:t>
      </w:r>
    </w:p>
    <w:p>
      <w:pPr>
        <w:spacing w:before="120"/>
      </w:pPr>
      <w:r>
        <w:rPr>
          <w:b/>
          <w:color w:val="FFFFFF"/>
          <w:sz w:val="22"/>
          <w:shd w:val="clear" w:color="auto" w:fill="1A56DB"/>
        </w:rPr>
        <w:t xml:space="preserve">  INPUT  </w:t>
      </w:r>
    </w:p>
    <w:p>
      <w:pPr>
        <w:ind w:left="283"/>
      </w:pPr>
      <w:r>
        <w:rPr>
          <w:sz w:val="20"/>
        </w:rPr>
        <w:t>0 个跨学科概念</w:t>
      </w:r>
    </w:p>
    <w:p/>
    <w:p>
      <w:pPr>
        <w:spacing w:before="120"/>
      </w:pPr>
      <w:r>
        <w:rPr>
          <w:b/>
          <w:color w:val="FFFFFF"/>
          <w:sz w:val="22"/>
          <w:shd w:val="clear" w:color="auto" w:fill="0D9276"/>
        </w:rPr>
        <w:t xml:space="preserve">  OUTPUT  </w:t>
      </w:r>
    </w:p>
    <w:p>
      <w:pPr>
        <w:ind w:left="283"/>
      </w:pPr>
      <w:r>
        <w:rPr>
          <w:sz w:val="20"/>
        </w:rPr>
        <w:t>共抽取 0 条关系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20"/>
              </w:rPr>
              <w:t>Head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20"/>
              </w:rPr>
              <w:t>Relation Type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20"/>
              </w:rPr>
              <w:t>Tail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20"/>
              </w:rPr>
              <w:t>Confidence</w:t>
            </w:r>
          </w:p>
        </w:tc>
      </w:tr>
    </w:tbl>
    <w:p/>
    <w:p>
      <w:pPr>
        <w:pStyle w:val="Heading2"/>
      </w:pPr>
      <w:r>
        <w:t>关系详情</w:t>
      </w:r>
    </w:p>
    <w:p>
      <w:pPr>
        <w:pStyle w:val="Heading1"/>
      </w:pPr>
      <w:r>
        <w:t>6. Stage 2c: 查询生成 (Query Generation)</w:t>
      </w:r>
    </w:p>
    <w:p>
      <w:pPr>
        <w:spacing w:before="120"/>
      </w:pPr>
      <w:r>
        <w:rPr>
          <w:b/>
          <w:color w:val="FFFFFF"/>
          <w:sz w:val="22"/>
          <w:shd w:val="clear" w:color="auto" w:fill="1A56DB"/>
        </w:rPr>
        <w:t xml:space="preserve">  INPUT  </w:t>
      </w:r>
    </w:p>
    <w:p>
      <w:pPr>
        <w:ind w:left="283"/>
      </w:pPr>
      <w:r>
        <w:rPr>
          <w:sz w:val="20"/>
        </w:rPr>
        <w:t>概念 + 关系 + 学科分类</w:t>
      </w:r>
    </w:p>
    <w:p/>
    <w:p>
      <w:pPr>
        <w:spacing w:before="120"/>
      </w:pPr>
      <w:r>
        <w:rPr>
          <w:b/>
          <w:color w:val="FFFFFF"/>
          <w:sz w:val="22"/>
          <w:shd w:val="clear" w:color="auto" w:fill="0D9276"/>
        </w:rPr>
        <w:t xml:space="preserve">  OUTPUT  </w:t>
      </w:r>
    </w:p>
    <w:p>
      <w:pPr>
        <w:ind w:left="283"/>
      </w:pPr>
      <w:r>
        <w:rPr>
          <w:sz w:val="20"/>
        </w:rPr>
        <w:t>三层次查询问题</w:t>
      </w:r>
    </w:p>
    <w:p>
      <w:r>
        <w:rPr>
          <w:b/>
        </w:rPr>
        <w:t xml:space="preserve">L1 (宏观查询): </w:t>
      </w:r>
      <w:r/>
    </w:p>
    <w:p>
      <w:pPr>
        <w:pStyle w:val="Heading1"/>
      </w:pPr>
      <w:r>
        <w:t>7. Stage 2d: 假设路径生成 (Hypothesis Path Generation)</w:t>
      </w:r>
    </w:p>
    <w:p>
      <w:pPr>
        <w:spacing w:before="120"/>
      </w:pPr>
      <w:r>
        <w:rPr>
          <w:b/>
          <w:color w:val="FFFFFF"/>
          <w:sz w:val="22"/>
          <w:shd w:val="clear" w:color="auto" w:fill="1A56DB"/>
        </w:rPr>
        <w:t xml:space="preserve">  INPUT  </w:t>
      </w:r>
    </w:p>
    <w:p>
      <w:pPr>
        <w:ind w:left="283"/>
      </w:pPr>
      <w:r>
        <w:rPr>
          <w:sz w:val="20"/>
        </w:rPr>
        <w:t>查询问题 + KG 结构</w:t>
      </w:r>
    </w:p>
    <w:p/>
    <w:p>
      <w:pPr>
        <w:spacing w:before="120"/>
      </w:pPr>
      <w:r>
        <w:rPr>
          <w:b/>
          <w:color w:val="FFFFFF"/>
          <w:sz w:val="22"/>
          <w:shd w:val="clear" w:color="auto" w:fill="0D9276"/>
        </w:rPr>
        <w:t xml:space="preserve">  OUTPUT  </w:t>
      </w:r>
    </w:p>
    <w:p>
      <w:pPr>
        <w:ind w:left="283"/>
      </w:pPr>
      <w:r>
        <w:rPr>
          <w:sz w:val="20"/>
        </w:rPr>
        <w:t>共生成 0 条假设路径 (L1/L2/L3)</w:t>
      </w:r>
    </w:p>
    <w:p>
      <w:pPr>
        <w:pStyle w:val="Heading1"/>
      </w:pPr>
      <w:r>
        <w:t>8. 知识图谱构建与指标 (KG Construction &amp; Metrics)</w:t>
      </w:r>
    </w:p>
    <w:p>
      <w:pPr>
        <w:spacing w:before="120"/>
      </w:pPr>
      <w:r>
        <w:rPr>
          <w:b/>
          <w:color w:val="FFFFFF"/>
          <w:sz w:val="22"/>
          <w:shd w:val="clear" w:color="auto" w:fill="1A56DB"/>
        </w:rPr>
        <w:t xml:space="preserve">  INPUT  </w:t>
      </w:r>
    </w:p>
    <w:p>
      <w:pPr>
        <w:ind w:left="283"/>
      </w:pPr>
      <w:r>
        <w:rPr>
          <w:sz w:val="20"/>
        </w:rPr>
        <w:t>概念 + 关系 + 假设路径</w:t>
      </w:r>
    </w:p>
    <w:p/>
    <w:p>
      <w:pPr>
        <w:spacing w:before="120"/>
      </w:pPr>
      <w:r>
        <w:rPr>
          <w:b/>
          <w:color w:val="FFFFFF"/>
          <w:sz w:val="22"/>
          <w:shd w:val="clear" w:color="auto" w:fill="0D9276"/>
        </w:rPr>
        <w:t xml:space="preserve">  OUTPUT  </w:t>
      </w:r>
    </w:p>
    <w:p>
      <w:pPr>
        <w:ind w:left="283"/>
      </w:pPr>
      <w:r>
        <w:rPr>
          <w:sz w:val="20"/>
        </w:rPr>
        <w:t>图谱统计概览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</w:tcPr>
          <w:p>
            <w:pPr>
              <w:jc w:val="center"/>
            </w:pPr>
            <w:r>
              <w:rPr>
                <w:b/>
                <w:sz w:val="20"/>
              </w:rPr>
              <w:t>指标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/>
                <w:sz w:val="20"/>
              </w:rPr>
              <w:t>值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处理论文数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44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平均概念数/篇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0.0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平均关系数/篇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0.0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关系类型数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12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总关系数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0</w:t>
            </w:r>
          </w:p>
        </w:tc>
      </w:tr>
    </w:tbl>
    <w:p/>
    <w:p>
      <w:pPr>
        <w:pStyle w:val="Heading2"/>
      </w:pPr>
      <w:r>
        <w:t>KG 评估指标 (示例论文)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850"/>
          </w:tcPr>
          <w:p>
            <w:pPr>
              <w:jc w:val="center"/>
            </w:pPr>
            <w:r>
              <w:rPr>
                <w:b/>
                <w:sz w:val="20"/>
              </w:rPr>
              <w:t>Level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20"/>
              </w:rPr>
              <w:t>Bridging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20"/>
              </w:rPr>
              <w:t>Coherence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20"/>
              </w:rPr>
              <w:t>Novelty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20"/>
              </w:rPr>
              <w:t>Innovation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20"/>
              </w:rPr>
              <w:t>Feasibility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20"/>
              </w:rPr>
              <w:t>Coverage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L1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1.00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0.788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1.00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8.0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7.7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0.92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L2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1.00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0.853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1.00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5.8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6.2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1.00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L3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1.00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0.812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1.00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7.5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6.4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1.00</w:t>
            </w:r>
          </w:p>
        </w:tc>
      </w:tr>
    </w:tbl>
    <w:p/>
    <w:p>
      <w:pPr>
        <w:pStyle w:val="Heading2"/>
      </w:pPr>
      <w:r>
        <w:t>深度分析 (Depth Analysis)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</w:tcPr>
          <w:p>
            <w:pPr>
              <w:jc w:val="center"/>
            </w:pPr>
            <w:r>
              <w:rPr>
                <w:b/>
                <w:sz w:val="20"/>
              </w:rPr>
              <w:t>指标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/>
                <w:sz w:val="20"/>
              </w:rPr>
              <w:t>值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L2 Concept Expansion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0.25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L3 Concept Expansion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0.625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L2 Anchoring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0.5455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L3 Anchoring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0.375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Depth Quality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0.2361</w:t>
            </w:r>
          </w:p>
        </w:tc>
      </w:tr>
    </w:tbl>
    <w:p/>
    <w:p>
      <w:pPr>
        <w:pStyle w:val="Heading1"/>
      </w:pPr>
      <w:r>
        <w:t>9. Benchmark GT 构建 (Ground Truth Construction)</w:t>
      </w:r>
    </w:p>
    <w:p>
      <w:pPr>
        <w:spacing w:before="120"/>
      </w:pPr>
      <w:r>
        <w:rPr>
          <w:b/>
          <w:color w:val="FFFFFF"/>
          <w:sz w:val="22"/>
          <w:shd w:val="clear" w:color="auto" w:fill="1A56DB"/>
        </w:rPr>
        <w:t xml:space="preserve">  INPUT  </w:t>
      </w:r>
    </w:p>
    <w:p>
      <w:pPr>
        <w:ind w:left="283"/>
      </w:pPr>
      <w:r>
        <w:rPr>
          <w:sz w:val="20"/>
        </w:rPr>
        <w:t>抽取结果: 0 个概念, 0 条关系, 0 条假设路径</w:t>
      </w:r>
    </w:p>
    <w:p/>
    <w:p>
      <w:pPr>
        <w:spacing w:before="120"/>
      </w:pPr>
      <w:r>
        <w:rPr>
          <w:b/>
          <w:color w:val="FFFFFF"/>
          <w:sz w:val="22"/>
          <w:shd w:val="clear" w:color="auto" w:fill="0D9276"/>
        </w:rPr>
        <w:t xml:space="preserve">  OUTPUT  </w:t>
      </w:r>
    </w:p>
    <w:p>
      <w:pPr>
        <w:ind w:left="283"/>
      </w:pPr>
      <w:r>
        <w:rPr>
          <w:sz w:val="20"/>
        </w:rPr>
        <w:t>Evidence-Grounded Ground Truth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</w:tcPr>
          <w:p>
            <w:pPr>
              <w:jc w:val="center"/>
            </w:pPr>
            <w:r>
              <w:rPr>
                <w:b/>
                <w:sz w:val="20"/>
              </w:rPr>
              <w:t>指标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/>
                <w:sz w:val="20"/>
              </w:rPr>
              <w:t>值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GT 条目数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39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平均术语数/条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31.3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平均关系数/条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20.6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总术语数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1220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总关系数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804</w:t>
            </w:r>
          </w:p>
        </w:tc>
      </w:tr>
    </w:tbl>
    <w:p/>
    <w:p>
      <w:pPr>
        <w:pStyle w:val="Heading2"/>
      </w:pPr>
      <w:r>
        <w:t>示例 GT 术语 (前 8 个)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20"/>
              </w:rPr>
              <w:t>Term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20"/>
              </w:rPr>
              <w:t>Normalized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20"/>
              </w:rPr>
              <w:t>Discipline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/>
                <w:sz w:val="20"/>
              </w:rPr>
              <w:t>Conf.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20"/>
              </w:rPr>
              <w:t>Grounded To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electrocatalytic oxygen evolution reaction (OER)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电催化氧析出反应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化学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0.98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-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lattice oxygen activation mechanism (LOM)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晶格氧活化机制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化学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0.98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-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high-valent oxidation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高氧化态氧化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化学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0.95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-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metal ions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金属离子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化学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0.95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Metals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Raman spectroscopy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拉曼光谱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化学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0.97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spectroscopy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TMAOH solutions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四甲基氢氧化铵溶液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化学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0.93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-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A1g stretching mode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伸缩模式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化学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0.96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-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Ni(OH)2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氢氧化镍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化学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0.94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-</w:t>
            </w:r>
          </w:p>
        </w:tc>
      </w:tr>
    </w:tbl>
    <w:p/>
    <w:p>
      <w:pPr>
        <w:pStyle w:val="Heading2"/>
      </w:pPr>
      <w:r>
        <w:t>示例 GT 关系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20"/>
              </w:rPr>
              <w:t>Head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20"/>
              </w:rPr>
              <w:t>Type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20"/>
              </w:rPr>
              <w:t>Tail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20"/>
              </w:rPr>
              <w:t>Confidence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金属离子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corresponds_to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高氧化态氧化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0.5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稳定性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corresponds_to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高氧化态氧化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0.5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稳定性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corresponds_to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金属离子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0.5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多路径电子转移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corresponds_to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高熵合金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0.5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钴-氧键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improves_metric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镍-钴双位点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0.6</w:t>
            </w:r>
          </w:p>
        </w:tc>
      </w:tr>
    </w:tbl>
    <w:p/>
    <w:p>
      <w:pPr>
        <w:pStyle w:val="Heading1"/>
      </w:pPr>
      <w:r>
        <w:t>10. P1-P5 评估框架 (Progressive Prompt Evaluation)</w:t>
      </w:r>
    </w:p>
    <w:p>
      <w:r>
        <w:t>渐进式提示评估框架通过 5 个级别的信息提示量，衡量 LLM 在不同信息充分度下的假设生成质量。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20"/>
              </w:rPr>
              <w:t>级别</w:t>
            </w:r>
          </w:p>
        </w:tc>
        <w:tc>
          <w:tcPr>
            <w:tcW w:type="dxa" w:w="6236"/>
          </w:tcPr>
          <w:p>
            <w:pPr>
              <w:jc w:val="center"/>
            </w:pPr>
            <w:r>
              <w:rPr>
                <w:b/>
                <w:sz w:val="20"/>
              </w:rPr>
              <w:t>描述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仅提供论文标题 (Title only)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P2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标题 + 摘要 (Title + Abstract)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P3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标题 + 摘要 + 学科分类 (+ Discipline)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P4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标题 + 摘要 + 学科 + 概念列表 (+ Concepts)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P5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完整知识图谱 + 假设路径 (Full KG + Paths)</w:t>
            </w:r>
          </w:p>
        </w:tc>
      </w:tr>
    </w:tbl>
    <w:p/>
    <w:p>
      <w:pPr>
        <w:pStyle w:val="Heading2"/>
      </w:pPr>
      <w:r>
        <w:t>评估结果对比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850"/>
          </w:tcPr>
          <w:p>
            <w:pPr>
              <w:jc w:val="center"/>
            </w:pPr>
            <w:r>
              <w:rPr>
                <w:b/>
                <w:sz w:val="20"/>
              </w:rPr>
              <w:t>Level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20"/>
              </w:rPr>
              <w:t>BERTScore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20"/>
              </w:rPr>
              <w:t>ROUGE-1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/>
                <w:sz w:val="20"/>
              </w:rPr>
              <w:t>Novelty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/>
                <w:sz w:val="20"/>
              </w:rPr>
              <w:t>Feasibility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/>
                <w:sz w:val="20"/>
              </w:rPr>
              <w:t>Relevance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/>
                <w:sz w:val="20"/>
              </w:rPr>
              <w:t>Cross-Disc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/>
                <w:sz w:val="20"/>
              </w:rPr>
              <w:t>Time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0.7061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0.0152</w:t>
            </w:r>
          </w:p>
        </w:tc>
        <w:tc>
          <w:tcPr>
            <w:tcW w:type="dxa" w:w="1020"/>
          </w:tcPr>
          <w:p>
            <w:r>
              <w:rPr>
                <w:sz w:val="20"/>
              </w:rPr>
              <w:t>9.0</w:t>
            </w:r>
          </w:p>
        </w:tc>
        <w:tc>
          <w:tcPr>
            <w:tcW w:type="dxa" w:w="1020"/>
          </w:tcPr>
          <w:p>
            <w:r>
              <w:rPr>
                <w:sz w:val="20"/>
              </w:rPr>
              <w:t>7.6</w:t>
            </w:r>
          </w:p>
        </w:tc>
        <w:tc>
          <w:tcPr>
            <w:tcW w:type="dxa" w:w="1020"/>
          </w:tcPr>
          <w:p>
            <w:r>
              <w:rPr>
                <w:sz w:val="20"/>
              </w:rPr>
              <w:t>8.8</w:t>
            </w:r>
          </w:p>
        </w:tc>
        <w:tc>
          <w:tcPr>
            <w:tcW w:type="dxa" w:w="1020"/>
          </w:tcPr>
          <w:p>
            <w:r>
              <w:rPr>
                <w:sz w:val="20"/>
              </w:rPr>
              <w:t>8.8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34.7s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P2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0.7275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0.1177</w:t>
            </w:r>
          </w:p>
        </w:tc>
        <w:tc>
          <w:tcPr>
            <w:tcW w:type="dxa" w:w="1020"/>
          </w:tcPr>
          <w:p>
            <w:r>
              <w:rPr>
                <w:sz w:val="20"/>
              </w:rPr>
              <w:t>8.4</w:t>
            </w:r>
          </w:p>
        </w:tc>
        <w:tc>
          <w:tcPr>
            <w:tcW w:type="dxa" w:w="1020"/>
          </w:tcPr>
          <w:p>
            <w:r>
              <w:rPr>
                <w:sz w:val="20"/>
              </w:rPr>
              <w:t>7.8</w:t>
            </w:r>
          </w:p>
        </w:tc>
        <w:tc>
          <w:tcPr>
            <w:tcW w:type="dxa" w:w="1020"/>
          </w:tcPr>
          <w:p>
            <w:r>
              <w:rPr>
                <w:sz w:val="20"/>
              </w:rPr>
              <w:t>9.4</w:t>
            </w:r>
          </w:p>
        </w:tc>
        <w:tc>
          <w:tcPr>
            <w:tcW w:type="dxa" w:w="1020"/>
          </w:tcPr>
          <w:p>
            <w:r>
              <w:rPr>
                <w:sz w:val="20"/>
              </w:rPr>
              <w:t>9.0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29.8s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P3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0.7384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0.1504</w:t>
            </w:r>
          </w:p>
        </w:tc>
        <w:tc>
          <w:tcPr>
            <w:tcW w:type="dxa" w:w="1020"/>
          </w:tcPr>
          <w:p>
            <w:r>
              <w:rPr>
                <w:sz w:val="20"/>
              </w:rPr>
              <w:t>8.25</w:t>
            </w:r>
          </w:p>
        </w:tc>
        <w:tc>
          <w:tcPr>
            <w:tcW w:type="dxa" w:w="1020"/>
          </w:tcPr>
          <w:p>
            <w:r>
              <w:rPr>
                <w:sz w:val="20"/>
              </w:rPr>
              <w:t>7.25</w:t>
            </w:r>
          </w:p>
        </w:tc>
        <w:tc>
          <w:tcPr>
            <w:tcW w:type="dxa" w:w="1020"/>
          </w:tcPr>
          <w:p>
            <w:r>
              <w:rPr>
                <w:sz w:val="20"/>
              </w:rPr>
              <w:t>9.75</w:t>
            </w:r>
          </w:p>
        </w:tc>
        <w:tc>
          <w:tcPr>
            <w:tcW w:type="dxa" w:w="1020"/>
          </w:tcPr>
          <w:p>
            <w:r>
              <w:rPr>
                <w:sz w:val="20"/>
              </w:rPr>
              <w:t>8.75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38.2s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P4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0.7472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0.1183</w:t>
            </w:r>
          </w:p>
        </w:tc>
        <w:tc>
          <w:tcPr>
            <w:tcW w:type="dxa" w:w="1020"/>
          </w:tcPr>
          <w:p>
            <w:r>
              <w:rPr>
                <w:sz w:val="20"/>
              </w:rPr>
              <w:t>N/A</w:t>
            </w:r>
          </w:p>
        </w:tc>
        <w:tc>
          <w:tcPr>
            <w:tcW w:type="dxa" w:w="1020"/>
          </w:tcPr>
          <w:p>
            <w:r>
              <w:rPr>
                <w:sz w:val="20"/>
              </w:rPr>
              <w:t>N/A</w:t>
            </w:r>
          </w:p>
        </w:tc>
        <w:tc>
          <w:tcPr>
            <w:tcW w:type="dxa" w:w="1020"/>
          </w:tcPr>
          <w:p>
            <w:r>
              <w:rPr>
                <w:sz w:val="20"/>
              </w:rPr>
              <w:t>N/A</w:t>
            </w:r>
          </w:p>
        </w:tc>
        <w:tc>
          <w:tcPr>
            <w:tcW w:type="dxa" w:w="1020"/>
          </w:tcPr>
          <w:p>
            <w:r>
              <w:rPr>
                <w:sz w:val="20"/>
              </w:rPr>
              <w:t>N/A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58.7s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P5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0.7064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0.0000</w:t>
            </w:r>
          </w:p>
        </w:tc>
        <w:tc>
          <w:tcPr>
            <w:tcW w:type="dxa" w:w="1020"/>
          </w:tcPr>
          <w:p>
            <w:r>
              <w:rPr>
                <w:sz w:val="20"/>
              </w:rPr>
              <w:t>7.8</w:t>
            </w:r>
          </w:p>
        </w:tc>
        <w:tc>
          <w:tcPr>
            <w:tcW w:type="dxa" w:w="1020"/>
          </w:tcPr>
          <w:p>
            <w:r>
              <w:rPr>
                <w:sz w:val="20"/>
              </w:rPr>
              <w:t>8.6</w:t>
            </w:r>
          </w:p>
        </w:tc>
        <w:tc>
          <w:tcPr>
            <w:tcW w:type="dxa" w:w="1020"/>
          </w:tcPr>
          <w:p>
            <w:r>
              <w:rPr>
                <w:sz w:val="20"/>
              </w:rPr>
              <w:t>10.0</w:t>
            </w:r>
          </w:p>
        </w:tc>
        <w:tc>
          <w:tcPr>
            <w:tcW w:type="dxa" w:w="1020"/>
          </w:tcPr>
          <w:p>
            <w:r>
              <w:rPr>
                <w:sz w:val="20"/>
              </w:rPr>
              <w:t>7.4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0.0s</w:t>
            </w:r>
          </w:p>
        </w:tc>
      </w:tr>
    </w:tbl>
    <w:p/>
    <w:p>
      <w:pPr>
        <w:pStyle w:val="Heading2"/>
      </w:pPr>
      <w:r>
        <w:t>关键发现</w:t>
      </w:r>
    </w:p>
    <w:p>
      <w:pPr>
        <w:pStyle w:val="ListBullet"/>
        <w:ind w:left="850"/>
      </w:pPr>
      <w:r>
        <w:t>P4 在文本相似度 (BERTScore F1) 上表现最优: 0.7472</w:t>
      </w:r>
    </w:p>
    <w:p>
      <w:pPr>
        <w:pStyle w:val="ListBullet"/>
        <w:ind w:left="850"/>
      </w:pPr>
      <w:r>
        <w:t>P1 在新颖性 (Novelty=9.0) 和特异性 (Specificity=9.0) 上表现最优</w:t>
      </w:r>
    </w:p>
    <w:p>
      <w:pPr>
        <w:pStyle w:val="ListBullet"/>
        <w:ind w:left="850"/>
      </w:pPr>
      <w:r>
        <w:t>P5 在可行性 (Feasibility=8.6) 和相关性 (Relevance=10.0) 上表现最优</w:t>
      </w:r>
    </w:p>
    <w:p>
      <w:pPr>
        <w:pStyle w:val="ListBullet"/>
        <w:ind w:left="850"/>
      </w:pPr>
      <w:r>
        <w:t>P5 生成速度最快 (取自知识图谱)，平均生成 6.2 条假设</w:t>
      </w:r>
    </w:p>
    <w:p>
      <w:pPr>
        <w:pStyle w:val="ListBullet"/>
        <w:ind w:left="850"/>
      </w:pPr>
      <w:r>
        <w:t>信息充分度与新颖性呈负相关，与相关性/可行性呈正相关</w:t>
      </w:r>
    </w:p>
    <w:p>
      <w:pPr>
        <w:pStyle w:val="Heading1"/>
      </w:pPr>
      <w:r>
        <w:t>11. 深度分析 (Depth Analysis: L1 vs L2 vs L3)</w:t>
      </w:r>
    </w:p>
    <w:p>
      <w:r>
        <w:t>三层假设路径代表不同抽象粒度的研究问题:</w:t>
        <w:br/>
        <w:t>• L1 (宏观): 学科间宏观联系，少量概念，高创新性</w:t>
        <w:br/>
        <w:t>• L2 (中观): 特定机制级关联，概念扩展 25%</w:t>
        <w:br/>
        <w:t>• L3 (微观): 细粒度实验级关联，概念扩展 62.5%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20"/>
              </w:rPr>
              <w:t>指标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20"/>
              </w:rPr>
              <w:t>L1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20"/>
              </w:rPr>
              <w:t>L2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20"/>
              </w:rPr>
              <w:t>L3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Innovation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8.0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5.75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7.5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Feasibility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7.666666666666667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6.15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6.4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Scientificity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7.833333333333333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7.1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7.1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Testability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7.333333333333333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8.125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7.75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Chain Coherence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0.788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0.853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0.812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Entity Coverage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0.9167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1.0</w:t>
            </w:r>
          </w:p>
        </w:tc>
      </w:tr>
    </w:tbl>
    <w:p/>
    <w:p>
      <w:pPr>
        <w:pStyle w:val="Heading1"/>
      </w:pPr>
      <w:r>
        <w:t>12. 数据集统计概览 (Dataset Statistics)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</w:tcPr>
          <w:p>
            <w:pPr>
              <w:jc w:val="center"/>
            </w:pPr>
            <w:r>
              <w:rPr>
                <w:b/>
                <w:sz w:val="20"/>
              </w:rPr>
              <w:t>维度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/>
                <w:sz w:val="20"/>
              </w:rPr>
              <w:t>统计值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论文数量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44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GT 条目数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39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平均概念/篇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0.0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平均关系/篇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0.0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平均 GT 术语/条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31.3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平均 GT 关系/条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20.6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总术语数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1220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总关系数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804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学科覆盖数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4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跨学科路径数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6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80"/>
    </w:pPr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56D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56D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56D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