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sz w:val="44"/>
        </w:rPr>
        <w:t>联调测试报告</w:t>
      </w:r>
    </w:p>
    <w:p>
      <w:pPr>
        <w:spacing w:after="280"/>
        <w:jc w:val="center"/>
      </w:pPr>
      <w:r>
        <w:rPr>
          <w:rFonts w:ascii="宋体" w:hAnsi="宋体" w:eastAsia="宋体"/>
          <w:b w:val="0"/>
          <w:color w:val="595959"/>
          <w:sz w:val="22"/>
        </w:rPr>
        <w:t>北京交通大学就餐仿真系统 / 集成阶段 / 2026年5月</w:t>
      </w:r>
    </w:p>
    <w:p>
      <w:pPr>
        <w:pBdr>
          <w:bottom w:val="single" w:sz="8" w:space="1" w:color="D9E2F3"/>
        </w:pBdr>
      </w:pP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500"/>
        <w:gridCol w:w="3180"/>
        <w:gridCol w:w="1500"/>
        <w:gridCol w:w="3180"/>
      </w:tblGrid>
      <w:tr>
        <w:tc>
          <w:tcPr>
            <w:tcW w:type="dxa" w:w="1500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项目名称</w:t>
            </w:r>
          </w:p>
        </w:tc>
        <w:tc>
          <w:tcPr>
            <w:tcW w:type="dxa" w:w="3180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北京交通大学就餐仿真系统</w:t>
            </w:r>
          </w:p>
        </w:tc>
        <w:tc>
          <w:tcPr>
            <w:tcW w:type="dxa" w:w="1500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测试阶段</w:t>
            </w:r>
          </w:p>
        </w:tc>
        <w:tc>
          <w:tcPr>
            <w:tcW w:type="dxa" w:w="3180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集成阶段</w:t>
            </w:r>
          </w:p>
        </w:tc>
      </w:tr>
      <w:tr>
        <w:tc>
          <w:tcPr>
            <w:tcW w:type="dxa" w:w="1500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测试人员</w:t>
            </w:r>
          </w:p>
        </w:tc>
        <w:tc>
          <w:tcPr>
            <w:tcW w:type="dxa" w:w="3180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黄译辉、陈金瑞</w:t>
            </w:r>
          </w:p>
        </w:tc>
        <w:tc>
          <w:tcPr>
            <w:tcW w:type="dxa" w:w="1500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测试时间</w:t>
            </w:r>
          </w:p>
        </w:tc>
        <w:tc>
          <w:tcPr>
            <w:tcW w:type="dxa" w:w="3180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2026年5月18日-2026年5月19日</w:t>
            </w:r>
          </w:p>
        </w:tc>
      </w:tr>
      <w:tr>
        <w:tc>
          <w:tcPr>
            <w:tcW w:type="dxa" w:w="1500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测试环境</w:t>
            </w:r>
          </w:p>
        </w:tc>
        <w:tc>
          <w:tcPr>
            <w:tcW w:type="dxa" w:w="3180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Spring Boot 3.4 + Vue 3 + MySQL 8.0</w:t>
            </w:r>
          </w:p>
        </w:tc>
        <w:tc>
          <w:tcPr>
            <w:tcW w:type="dxa" w:w="1500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访问地址</w:t>
            </w:r>
          </w:p>
        </w:tc>
        <w:tc>
          <w:tcPr>
            <w:tcW w:type="dxa" w:w="3180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http://localhost:8081</w:t>
            </w:r>
          </w:p>
        </w:tc>
      </w:tr>
      <w:tr>
        <w:tc>
          <w:tcPr>
            <w:tcW w:type="dxa" w:w="1500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测试依据</w:t>
            </w:r>
          </w:p>
        </w:tc>
        <w:tc>
          <w:tcPr>
            <w:tcW w:type="dxa" w:w="3180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接口文档、任务书、全链路测试脚本</w:t>
            </w:r>
          </w:p>
        </w:tc>
        <w:tc>
          <w:tcPr>
            <w:tcW w:type="dxa" w:w="1500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结论</w:t>
            </w:r>
          </w:p>
        </w:tc>
        <w:tc>
          <w:tcPr>
            <w:tcW w:type="dxa" w:w="3180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联调通过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黑体" w:hAnsi="黑体" w:eastAsia="黑体"/>
          <w:b/>
          <w:color w:val="2E74B5"/>
          <w:sz w:val="32"/>
        </w:rPr>
        <w:t>一、接口联调测试</w:t>
      </w:r>
    </w:p>
    <w:p>
      <w:pPr>
        <w:keepNext w:val="0"/>
        <w:spacing w:after="120" w:line="276" w:lineRule="auto"/>
      </w:pPr>
      <w:r>
        <w:rPr>
          <w:rFonts w:ascii="宋体" w:hAnsi="宋体" w:eastAsia="宋体"/>
          <w:b w:val="0"/>
          <w:sz w:val="22"/>
        </w:rPr>
        <w:t>接口联调测试重点验证用户端、管理端、业务服务层、数据库访问层之间是否能够正常通信，返回结构是否稳定，字段语义是否与前端页面和自动化脚本保持一致。</w:t>
      </w:r>
    </w:p>
    <w:p>
      <w:pPr>
        <w:keepNext w:val="0"/>
        <w:spacing w:after="120" w:line="276" w:lineRule="auto"/>
      </w:pPr>
      <w:r>
        <w:rPr>
          <w:rFonts w:ascii="宋体" w:hAnsi="宋体" w:eastAsia="宋体"/>
          <w:b w:val="0"/>
          <w:sz w:val="22"/>
        </w:rPr>
        <w:t>统一判定标准：HTTP 状态码为 200；响应体符合 {code, message, data} 结构；受保护接口能够正确识别 token；业务状态能够落库并被后续模块读取。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700"/>
        <w:gridCol w:w="1900"/>
        <w:gridCol w:w="3000"/>
        <w:gridCol w:w="2500"/>
        <w:gridCol w:w="1260"/>
      </w:tblGrid>
      <w:tr>
        <w:trPr>
          <w:tblHeader w:val="true"/>
        </w:trPr>
        <w:tc>
          <w:tcPr>
            <w:tcW w:type="dxa" w:w="70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序号</w:t>
            </w:r>
          </w:p>
        </w:tc>
        <w:tc>
          <w:tcPr>
            <w:tcW w:type="dxa" w:w="190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接口/模块</w:t>
            </w:r>
          </w:p>
        </w:tc>
        <w:tc>
          <w:tcPr>
            <w:tcW w:type="dxa" w:w="300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联调内容</w:t>
            </w:r>
          </w:p>
        </w:tc>
        <w:tc>
          <w:tcPr>
            <w:tcW w:type="dxa" w:w="250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预期结果</w:t>
            </w:r>
          </w:p>
        </w:tc>
        <w:tc>
          <w:tcPr>
            <w:tcW w:type="dxa" w:w="126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实际结果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9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用户注册/登录</w:t>
            </w:r>
          </w:p>
        </w:tc>
        <w:tc>
          <w:tcPr>
            <w:tcW w:type="dxa" w:w="3000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POST /api/v1/user/register 与 /api/v1/user/login 联调，验证手机号校验、密码验证、JWT 生成。</w:t>
            </w:r>
          </w:p>
        </w:tc>
        <w:tc>
          <w:tcPr>
            <w:tcW w:type="dxa" w:w="2500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注册后可登录，登录返回用户 id、用户名、token、role。</w:t>
            </w:r>
          </w:p>
        </w:tc>
        <w:tc>
          <w:tcPr>
            <w:tcW w:type="dxa" w:w="12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9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食堂与菜品浏览</w:t>
            </w:r>
          </w:p>
        </w:tc>
        <w:tc>
          <w:tcPr>
            <w:tcW w:type="dxa" w:w="3000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GET /api/v1/user/canteens、GET /api/v1/user/canteens/{canteenId}/foods。</w:t>
            </w:r>
          </w:p>
        </w:tc>
        <w:tc>
          <w:tcPr>
            <w:tcW w:type="dxa" w:w="2500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前端可获取食堂、菜品、库存、上架状态并完成列表渲染。</w:t>
            </w:r>
          </w:p>
        </w:tc>
        <w:tc>
          <w:tcPr>
            <w:tcW w:type="dxa" w:w="12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9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购物车模块</w:t>
            </w:r>
          </w:p>
        </w:tc>
        <w:tc>
          <w:tcPr>
            <w:tcW w:type="dxa" w:w="3000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POST/GET/PUT/DELETE /api/v1/user/cart/items 与 /api/v1/user/cart。</w:t>
            </w:r>
          </w:p>
        </w:tc>
        <w:tc>
          <w:tcPr>
            <w:tcW w:type="dxa" w:w="2500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登录用户可增删改查购物车，金额小计与总价正确。</w:t>
            </w:r>
          </w:p>
        </w:tc>
        <w:tc>
          <w:tcPr>
            <w:tcW w:type="dxa" w:w="12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9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订单模块</w:t>
            </w:r>
          </w:p>
        </w:tc>
        <w:tc>
          <w:tcPr>
            <w:tcW w:type="dxa" w:w="3000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POST /api/v1/user/orders 与支付回调 /payment-callback。</w:t>
            </w:r>
          </w:p>
        </w:tc>
        <w:tc>
          <w:tcPr>
            <w:tcW w:type="dxa" w:w="2500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订单从 CREATED 流转到 PAID，订单明细与库存扣减一致。</w:t>
            </w:r>
          </w:p>
        </w:tc>
        <w:tc>
          <w:tcPr>
            <w:tcW w:type="dxa" w:w="12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9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预约模块</w:t>
            </w:r>
          </w:p>
        </w:tc>
        <w:tc>
          <w:tcPr>
            <w:tcW w:type="dxa" w:w="3000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GET 时间段、GET 可用座位、POST /api/v1/user/reservations。</w:t>
            </w:r>
          </w:p>
        </w:tc>
        <w:tc>
          <w:tcPr>
            <w:tcW w:type="dxa" w:w="2500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仅允许已支付订单预约；同一座位同一时段不可重复预约。</w:t>
            </w:r>
          </w:p>
        </w:tc>
        <w:tc>
          <w:tcPr>
            <w:tcW w:type="dxa" w:w="12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19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二维码模块</w:t>
            </w:r>
          </w:p>
        </w:tc>
        <w:tc>
          <w:tcPr>
            <w:tcW w:type="dxa" w:w="3000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POST /api/v1/user/pickup-qrcodes 与 GET 订单详情。</w:t>
            </w:r>
          </w:p>
        </w:tc>
        <w:tc>
          <w:tcPr>
            <w:tcW w:type="dxa" w:w="2500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可生成一次性 qrToken，订单详情能关联展示订单、预约和二维码状态。</w:t>
            </w:r>
          </w:p>
        </w:tc>
        <w:tc>
          <w:tcPr>
            <w:tcW w:type="dxa" w:w="12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19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管理端核销</w:t>
            </w:r>
          </w:p>
        </w:tc>
        <w:tc>
          <w:tcPr>
            <w:tcW w:type="dxa" w:w="3000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POST /api/v1/admin/pickup-qrcodes/scan。</w:t>
            </w:r>
          </w:p>
        </w:tc>
        <w:tc>
          <w:tcPr>
            <w:tcW w:type="dxa" w:w="2500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扫码后返回用户、订单、菜品、座位信息，并更新核销状态。</w:t>
            </w:r>
          </w:p>
        </w:tc>
        <w:tc>
          <w:tcPr>
            <w:tcW w:type="dxa" w:w="12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19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统计看板</w:t>
            </w:r>
          </w:p>
        </w:tc>
        <w:tc>
          <w:tcPr>
            <w:tcW w:type="dxa" w:w="3000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GET /api/v1/admin/canteens/realtime-occupancy、/statistics/*。</w:t>
            </w:r>
          </w:p>
        </w:tc>
        <w:tc>
          <w:tcPr>
            <w:tcW w:type="dxa" w:w="2500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管理端能读取实时占用率、历史就餐人数和菜品销量。</w:t>
            </w:r>
          </w:p>
        </w:tc>
        <w:tc>
          <w:tcPr>
            <w:tcW w:type="dxa" w:w="12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黑体" w:hAnsi="黑体" w:eastAsia="黑体"/>
          <w:b/>
          <w:color w:val="2E74B5"/>
          <w:sz w:val="32"/>
        </w:rPr>
        <w:t>二、系统联调测试</w:t>
      </w:r>
    </w:p>
    <w:p>
      <w:pPr>
        <w:keepNext w:val="0"/>
        <w:spacing w:after="120" w:line="276" w:lineRule="auto"/>
      </w:pPr>
      <w:r>
        <w:rPr>
          <w:rFonts w:ascii="宋体" w:hAnsi="宋体" w:eastAsia="宋体"/>
          <w:b w:val="0"/>
          <w:sz w:val="22"/>
        </w:rPr>
        <w:t>系统联调测试以具体业务任务为用例，连续调用多个模块，观察系统整体协同能力。测试覆盖用户点餐预约、取餐核销、管理端看板刷新三类核心任务。</w:t>
      </w:r>
    </w:p>
    <w:p>
      <w:pPr>
        <w:pStyle w:val="Heading2"/>
      </w:pPr>
      <w:r>
        <w:rPr>
          <w:rFonts w:ascii="黑体" w:hAnsi="黑体" w:eastAsia="黑体"/>
          <w:b/>
          <w:color w:val="2E74B5"/>
          <w:sz w:val="26"/>
        </w:rPr>
        <w:t>用例一：用户完成点餐、支付、预约和取餐码生成</w:t>
      </w:r>
    </w:p>
    <w:p>
      <w:pPr>
        <w:pStyle w:val="ListNumber"/>
        <w:spacing w:after="80" w:line="276" w:lineRule="auto"/>
      </w:pPr>
      <w:r>
        <w:rPr>
          <w:rFonts w:ascii="宋体" w:hAnsi="宋体" w:eastAsia="宋体"/>
          <w:b w:val="0"/>
          <w:sz w:val="22"/>
        </w:rPr>
        <w:t>注册测试用户并登录，获取 JWT token。</w:t>
      </w:r>
    </w:p>
    <w:p>
      <w:pPr>
        <w:pStyle w:val="ListNumber"/>
        <w:spacing w:after="80" w:line="276" w:lineRule="auto"/>
      </w:pPr>
      <w:r>
        <w:rPr>
          <w:rFonts w:ascii="宋体" w:hAnsi="宋体" w:eastAsia="宋体"/>
          <w:b w:val="0"/>
          <w:sz w:val="22"/>
        </w:rPr>
        <w:t>浏览食堂列表和第一食堂菜品，选择红烧肉加入购物车，数量为 2。</w:t>
      </w:r>
    </w:p>
    <w:p>
      <w:pPr>
        <w:pStyle w:val="ListNumber"/>
        <w:spacing w:after="80" w:line="276" w:lineRule="auto"/>
      </w:pPr>
      <w:r>
        <w:rPr>
          <w:rFonts w:ascii="宋体" w:hAnsi="宋体" w:eastAsia="宋体"/>
          <w:b w:val="0"/>
          <w:sz w:val="22"/>
        </w:rPr>
        <w:t>提交订单并调用模拟支付回调，将订单状态更新为 PAID。</w:t>
      </w:r>
    </w:p>
    <w:p>
      <w:pPr>
        <w:pStyle w:val="ListNumber"/>
        <w:spacing w:after="80" w:line="276" w:lineRule="auto"/>
      </w:pPr>
      <w:r>
        <w:rPr>
          <w:rFonts w:ascii="宋体" w:hAnsi="宋体" w:eastAsia="宋体"/>
          <w:b w:val="0"/>
          <w:sz w:val="22"/>
        </w:rPr>
        <w:t>读取可预约时段和可用座位，选择 11:00-12:00 与 A-001 座位完成预约。</w:t>
      </w:r>
    </w:p>
    <w:p>
      <w:pPr>
        <w:pStyle w:val="ListNumber"/>
        <w:spacing w:after="80" w:line="276" w:lineRule="auto"/>
      </w:pPr>
      <w:r>
        <w:rPr>
          <w:rFonts w:ascii="宋体" w:hAnsi="宋体" w:eastAsia="宋体"/>
          <w:b w:val="0"/>
          <w:sz w:val="22"/>
        </w:rPr>
        <w:t>生成取餐二维码，获取 qrToken 和过期时间。</w:t>
      </w:r>
    </w:p>
    <w:p>
      <w:pPr>
        <w:keepNext w:val="0"/>
        <w:spacing w:after="120" w:line="276" w:lineRule="auto"/>
      </w:pPr>
      <w:r>
        <w:rPr>
          <w:rFonts w:ascii="宋体" w:hAnsi="宋体" w:eastAsia="宋体"/>
          <w:b/>
          <w:sz w:val="22"/>
        </w:rPr>
        <w:t>测试结果：</w:t>
      </w:r>
      <w:r>
        <w:rPr>
          <w:rFonts w:ascii="宋体" w:hAnsi="宋体" w:eastAsia="宋体"/>
          <w:b w:val="0"/>
          <w:sz w:val="22"/>
        </w:rPr>
        <w:t>各步骤均返回 200，订单、预约、二维码数据能够被后续步骤继续使用，说明用户端主流程联调通过。</w:t>
      </w:r>
    </w:p>
    <w:p>
      <w:pPr>
        <w:pStyle w:val="Heading2"/>
      </w:pPr>
      <w:r>
        <w:rPr>
          <w:rFonts w:ascii="黑体" w:hAnsi="黑体" w:eastAsia="黑体"/>
          <w:b/>
          <w:color w:val="2E74B5"/>
          <w:sz w:val="26"/>
        </w:rPr>
        <w:t>用例二：管理员扫码核销并更新系统状态</w:t>
      </w:r>
    </w:p>
    <w:p>
      <w:pPr>
        <w:pStyle w:val="ListNumber"/>
        <w:spacing w:after="80" w:line="276" w:lineRule="auto"/>
      </w:pPr>
      <w:r>
        <w:rPr>
          <w:rFonts w:ascii="宋体" w:hAnsi="宋体" w:eastAsia="宋体"/>
          <w:b w:val="0"/>
          <w:sz w:val="22"/>
        </w:rPr>
        <w:t>使用用户端生成的 qrToken 作为输入，调用管理端扫码核销接口。</w:t>
      </w:r>
    </w:p>
    <w:p>
      <w:pPr>
        <w:pStyle w:val="ListNumber"/>
        <w:spacing w:after="80" w:line="276" w:lineRule="auto"/>
      </w:pPr>
      <w:r>
        <w:rPr>
          <w:rFonts w:ascii="宋体" w:hAnsi="宋体" w:eastAsia="宋体"/>
          <w:b w:val="0"/>
          <w:sz w:val="22"/>
        </w:rPr>
        <w:t>后端校验二维码有效期、使用状态和订单关联信息。</w:t>
      </w:r>
    </w:p>
    <w:p>
      <w:pPr>
        <w:pStyle w:val="ListNumber"/>
        <w:spacing w:after="80" w:line="276" w:lineRule="auto"/>
      </w:pPr>
      <w:r>
        <w:rPr>
          <w:rFonts w:ascii="宋体" w:hAnsi="宋体" w:eastAsia="宋体"/>
          <w:b w:val="0"/>
          <w:sz w:val="22"/>
        </w:rPr>
        <w:t>返回用户姓名、订单编号、菜品明细、食堂名称、时段和座位号。</w:t>
      </w:r>
    </w:p>
    <w:p>
      <w:pPr>
        <w:pStyle w:val="ListNumber"/>
        <w:spacing w:after="80" w:line="276" w:lineRule="auto"/>
      </w:pPr>
      <w:r>
        <w:rPr>
          <w:rFonts w:ascii="宋体" w:hAnsi="宋体" w:eastAsia="宋体"/>
          <w:b w:val="0"/>
          <w:sz w:val="22"/>
        </w:rPr>
        <w:t>更新预约状态和核销日志，避免同一二维码重复核销。</w:t>
      </w:r>
    </w:p>
    <w:p>
      <w:pPr>
        <w:keepNext w:val="0"/>
        <w:spacing w:after="120" w:line="276" w:lineRule="auto"/>
      </w:pPr>
      <w:r>
        <w:rPr>
          <w:rFonts w:ascii="宋体" w:hAnsi="宋体" w:eastAsia="宋体"/>
          <w:b/>
          <w:sz w:val="22"/>
        </w:rPr>
        <w:t>测试结果：</w:t>
      </w:r>
      <w:r>
        <w:rPr>
          <w:rFonts w:ascii="宋体" w:hAnsi="宋体" w:eastAsia="宋体"/>
          <w:b w:val="0"/>
          <w:sz w:val="22"/>
        </w:rPr>
        <w:t>返回 verified=true，message=Scan successful，管理端能够完成扫码核销闭环。</w:t>
      </w:r>
    </w:p>
    <w:p>
      <w:pPr>
        <w:pStyle w:val="Heading2"/>
      </w:pPr>
      <w:r>
        <w:rPr>
          <w:rFonts w:ascii="黑体" w:hAnsi="黑体" w:eastAsia="黑体"/>
          <w:b/>
          <w:color w:val="2E74B5"/>
          <w:sz w:val="26"/>
        </w:rPr>
        <w:t>用例三：管理端实时看板与统计页面联调</w:t>
      </w:r>
    </w:p>
    <w:p>
      <w:pPr>
        <w:pStyle w:val="ListNumber"/>
        <w:spacing w:after="80" w:line="276" w:lineRule="auto"/>
      </w:pPr>
      <w:r>
        <w:rPr>
          <w:rFonts w:ascii="宋体" w:hAnsi="宋体" w:eastAsia="宋体"/>
          <w:b w:val="0"/>
          <w:sz w:val="22"/>
        </w:rPr>
        <w:t>启动后端服务和前端页面，进入管理端 Dashboard 与 Statistics 页面。</w:t>
      </w:r>
    </w:p>
    <w:p>
      <w:pPr>
        <w:pStyle w:val="ListNumber"/>
        <w:spacing w:after="80" w:line="276" w:lineRule="auto"/>
      </w:pPr>
      <w:r>
        <w:rPr>
          <w:rFonts w:ascii="宋体" w:hAnsi="宋体" w:eastAsia="宋体"/>
          <w:b w:val="0"/>
          <w:sz w:val="22"/>
        </w:rPr>
        <w:t>调用实时人数接口读取各食堂 currentDiningCount、reservedCountInCurrentSlot、capacity 和 occupancyRate。</w:t>
      </w:r>
    </w:p>
    <w:p>
      <w:pPr>
        <w:pStyle w:val="ListNumber"/>
        <w:spacing w:after="80" w:line="276" w:lineRule="auto"/>
      </w:pPr>
      <w:r>
        <w:rPr>
          <w:rFonts w:ascii="宋体" w:hAnsi="宋体" w:eastAsia="宋体"/>
          <w:b w:val="0"/>
          <w:sz w:val="22"/>
        </w:rPr>
        <w:t>调用历史统计接口读取指定日期范围的用餐人数和菜品销量。</w:t>
      </w:r>
    </w:p>
    <w:p>
      <w:pPr>
        <w:pStyle w:val="ListNumber"/>
        <w:spacing w:after="80" w:line="276" w:lineRule="auto"/>
      </w:pPr>
      <w:r>
        <w:rPr>
          <w:rFonts w:ascii="宋体" w:hAnsi="宋体" w:eastAsia="宋体"/>
          <w:b w:val="0"/>
          <w:sz w:val="22"/>
        </w:rPr>
        <w:t>观察页面图表、表格和数据卡片是否能够根据接口响应正常刷新。</w:t>
      </w:r>
    </w:p>
    <w:p>
      <w:pPr>
        <w:keepNext w:val="0"/>
        <w:spacing w:after="120" w:line="276" w:lineRule="auto"/>
      </w:pPr>
      <w:r>
        <w:rPr>
          <w:rFonts w:ascii="宋体" w:hAnsi="宋体" w:eastAsia="宋体"/>
          <w:b/>
          <w:sz w:val="22"/>
        </w:rPr>
        <w:t>测试结果：</w:t>
      </w:r>
      <w:r>
        <w:rPr>
          <w:rFonts w:ascii="宋体" w:hAnsi="宋体" w:eastAsia="宋体"/>
          <w:b w:val="0"/>
          <w:sz w:val="22"/>
        </w:rPr>
        <w:t>接口数据可正常返回并用于前端渲染，30 秒轮询策略可以满足实训环境下的实时性要求。</w:t>
      </w:r>
    </w:p>
    <w:p>
      <w:pPr>
        <w:pStyle w:val="Heading1"/>
      </w:pPr>
      <w:r>
        <w:rPr>
          <w:rFonts w:ascii="黑体" w:hAnsi="黑体" w:eastAsia="黑体"/>
          <w:b/>
          <w:color w:val="2E74B5"/>
          <w:sz w:val="32"/>
        </w:rPr>
        <w:t>三、问题记录与解决情况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700"/>
        <w:gridCol w:w="3000"/>
        <w:gridCol w:w="1900"/>
        <w:gridCol w:w="2800"/>
        <w:gridCol w:w="960"/>
      </w:tblGrid>
      <w:tr>
        <w:trPr>
          <w:tblHeader w:val="true"/>
        </w:trPr>
        <w:tc>
          <w:tcPr>
            <w:tcW w:type="dxa" w:w="70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序号</w:t>
            </w:r>
          </w:p>
        </w:tc>
        <w:tc>
          <w:tcPr>
            <w:tcW w:type="dxa" w:w="300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问题描述</w:t>
            </w:r>
          </w:p>
        </w:tc>
        <w:tc>
          <w:tcPr>
            <w:tcW w:type="dxa" w:w="190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影响</w:t>
            </w:r>
          </w:p>
        </w:tc>
        <w:tc>
          <w:tcPr>
            <w:tcW w:type="dxa" w:w="280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解决方式</w:t>
            </w:r>
          </w:p>
        </w:tc>
        <w:tc>
          <w:tcPr>
            <w:tcW w:type="dxa" w:w="96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状态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3000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早期扫码核销返回体缺少食堂、座位等关联字段。</w:t>
            </w:r>
          </w:p>
        </w:tc>
        <w:tc>
          <w:tcPr>
            <w:tcW w:type="dxa" w:w="1900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前端 ScanVerify 页面无法完整展示核销信息。</w:t>
            </w:r>
          </w:p>
        </w:tc>
        <w:tc>
          <w:tcPr>
            <w:tcW w:type="dxa" w:w="2800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补充 Mapper 关联查询与 DTO 字段，前后端重新对齐字段名。</w:t>
            </w:r>
          </w:p>
        </w:tc>
        <w:tc>
          <w:tcPr>
            <w:tcW w:type="dxa" w:w="9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已解决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3000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前端请求头 token 字段携带不统一。</w:t>
            </w:r>
          </w:p>
        </w:tc>
        <w:tc>
          <w:tcPr>
            <w:tcW w:type="dxa" w:w="1900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部分受保护接口返回未登录。</w:t>
            </w:r>
          </w:p>
        </w:tc>
        <w:tc>
          <w:tcPr>
            <w:tcW w:type="dxa" w:w="2800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在 axios 请求拦截器中统一注入 token，并保持测试脚本同样请求头。</w:t>
            </w:r>
          </w:p>
        </w:tc>
        <w:tc>
          <w:tcPr>
            <w:tcW w:type="dxa" w:w="9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已解决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3000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测试脚本依赖当天可用时段，数据库没有当前日期数据时失败。</w:t>
            </w:r>
          </w:p>
        </w:tc>
        <w:tc>
          <w:tcPr>
            <w:tcW w:type="dxa" w:w="1900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全链路测试无法稳定运行。</w:t>
            </w:r>
          </w:p>
        </w:tc>
        <w:tc>
          <w:tcPr>
            <w:tcW w:type="dxa" w:w="2800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在 full_link_test.py 中增加初始化逻辑，自动插入当天和次日时段。</w:t>
            </w:r>
          </w:p>
        </w:tc>
        <w:tc>
          <w:tcPr>
            <w:tcW w:type="dxa" w:w="9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已解决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3000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订单、预约、二维码之间存在多表依赖，失败时可能产生脏数据。</w:t>
            </w:r>
          </w:p>
        </w:tc>
        <w:tc>
          <w:tcPr>
            <w:tcW w:type="dxa" w:w="19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状态流转不一致。</w:t>
            </w:r>
          </w:p>
        </w:tc>
        <w:tc>
          <w:tcPr>
            <w:tcW w:type="dxa" w:w="2800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在 Service 层使用事务控制，并在关键业务失败时抛出异常触发回滚。</w:t>
            </w:r>
          </w:p>
        </w:tc>
        <w:tc>
          <w:tcPr>
            <w:tcW w:type="dxa" w:w="9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已解决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黑体" w:hAnsi="黑体" w:eastAsia="黑体"/>
          <w:b/>
          <w:color w:val="2E74B5"/>
          <w:sz w:val="32"/>
        </w:rPr>
        <w:t>四、测试结论</w:t>
      </w:r>
    </w:p>
    <w:p>
      <w:pPr>
        <w:keepNext w:val="0"/>
        <w:spacing w:after="120" w:line="276" w:lineRule="auto"/>
      </w:pPr>
      <w:r>
        <w:rPr>
          <w:rFonts w:ascii="宋体" w:hAnsi="宋体" w:eastAsia="宋体"/>
          <w:b w:val="0"/>
          <w:sz w:val="22"/>
        </w:rPr>
        <w:t>本次联调测试覆盖了用户端、管理端、数据库和自动化测试脚本的主要交互场景。接口层通信正常，统一响应结构稳定，核心业务链路可以从注册登录持续流转到订单支付、预约、二维码生成和管理员核销。系统联调用例均通过，满足集成阶段交付要求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宋体" w:hAnsi="宋体" w:eastAsia="宋体"/>
        <w:b w:val="0"/>
        <w:color w:val="595959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宋体" w:hAnsi="宋体" w:eastAsia="宋体"/>
        <w:b w:val="0"/>
        <w:color w:val="595959"/>
        <w:sz w:val="18"/>
      </w:rPr>
      <w:t>北京交通大学就餐仿真系统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黑体" w:hAnsi="黑体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