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4A34BC">
      <w:pPr>
        <w:widowControl/>
        <w:adjustRightInd w:val="0"/>
        <w:snapToGrid w:val="0"/>
        <w:spacing w:line="480" w:lineRule="exact"/>
        <w:rPr>
          <w:rFonts w:ascii="楷体_GB2312" w:hAnsi="Times New Roman" w:eastAsia="楷体_GB2312"/>
          <w:bCs/>
          <w:sz w:val="28"/>
          <w:szCs w:val="28"/>
          <w:u w:val="single"/>
        </w:rPr>
      </w:pPr>
      <w:r>
        <w:rPr>
          <w:rFonts w:hint="eastAsia" w:ascii="楷体_GB2312" w:hAnsi="Times New Roman" w:eastAsia="楷体_GB2312"/>
          <w:bCs/>
          <w:color w:val="000000"/>
          <w:sz w:val="28"/>
          <w:szCs w:val="28"/>
        </w:rPr>
        <w:t>作品编号：CACR2026E7YZBA</w:t>
      </w:r>
      <w:r>
        <w:rPr>
          <w:rFonts w:ascii="楷体_GB2312" w:hAnsi="Times New Roman" w:eastAsia="楷体_GB2312"/>
          <w:bCs/>
          <w:sz w:val="28"/>
          <w:szCs w:val="28"/>
        </w:rPr>
        <w:drawing>
          <wp:anchor distT="0" distB="0" distL="114300" distR="114300" simplePos="0" relativeHeight="251660288" behindDoc="0" locked="0" layoutInCell="1" allowOverlap="1">
            <wp:simplePos x="0" y="0"/>
            <wp:positionH relativeFrom="column">
              <wp:posOffset>4584700</wp:posOffset>
            </wp:positionH>
            <wp:positionV relativeFrom="paragraph">
              <wp:posOffset>-90805</wp:posOffset>
            </wp:positionV>
            <wp:extent cx="1534795" cy="1163320"/>
            <wp:effectExtent l="0" t="0" r="8255" b="0"/>
            <wp:wrapSquare wrapText="bothSides"/>
            <wp:docPr id="2" name="图片 2" descr="D:\密码学会教育工作委员会\学会\学会图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密码学会教育工作委员会\学会\学会图标.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534795" cy="1163320"/>
                    </a:xfrm>
                    <a:prstGeom prst="rect">
                      <a:avLst/>
                    </a:prstGeom>
                    <a:noFill/>
                    <a:ln>
                      <a:noFill/>
                    </a:ln>
                  </pic:spPr>
                </pic:pic>
              </a:graphicData>
            </a:graphic>
          </wp:anchor>
        </w:drawing>
      </w:r>
      <w:r>
        <w:rPr>
          <w:rFonts w:hint="eastAsia" w:ascii="楷体_GB2312" w:hAnsi="Times New Roman" w:eastAsia="楷体_GB2312"/>
          <w:bCs/>
          <w:sz w:val="28"/>
          <w:szCs w:val="28"/>
        </w:rPr>
        <w:t/>
      </w:r>
      <w:r>
        <w:rPr>
          <w:rFonts w:hint="eastAsia" w:ascii="楷体_GB2312" w:hAnsi="Times New Roman" w:eastAsia="楷体_GB2312"/>
          <w:bCs/>
          <w:sz w:val="28"/>
          <w:szCs w:val="28"/>
          <w:u w:val="single"/>
        </w:rPr>
        <w:t xml:space="preserve"/>
      </w:r>
      <w:r>
        <w:rPr>
          <w:rFonts w:hint="eastAsia" w:ascii="楷体_GB2312" w:hAnsi="Times New Roman" w:eastAsia="楷体_GB2312"/>
          <w:b/>
          <w:color w:val="FF0000"/>
          <w:sz w:val="28"/>
          <w:szCs w:val="28"/>
          <w:u w:val="single"/>
        </w:rPr>
        <w:t/>
      </w:r>
      <w:r>
        <w:rPr>
          <w:rFonts w:hint="eastAsia" w:ascii="楷体_GB2312" w:hAnsi="Times New Roman" w:eastAsia="楷体_GB2312"/>
          <w:bCs/>
          <w:color w:val="FF0000"/>
          <w:sz w:val="28"/>
          <w:szCs w:val="28"/>
          <w:u w:val="single"/>
        </w:rPr>
        <w:t/>
      </w:r>
      <w:r>
        <w:rPr>
          <w:rFonts w:hint="eastAsia" w:ascii="楷体_GB2312" w:hAnsi="Times New Roman" w:eastAsia="楷体_GB2312"/>
          <w:bCs/>
          <w:sz w:val="28"/>
          <w:szCs w:val="28"/>
          <w:u w:val="single"/>
        </w:rPr>
        <w:t xml:space="preserve"/>
      </w:r>
    </w:p>
    <w:p w14:paraId="4ED5BDDA">
      <w:pPr>
        <w:widowControl/>
        <w:adjustRightInd w:val="0"/>
        <w:snapToGrid w:val="0"/>
        <w:spacing w:line="480" w:lineRule="exact"/>
        <w:rPr>
          <w:rFonts w:ascii="楷体_GB2312" w:hAnsi="Times New Roman" w:eastAsia="楷体_GB2312"/>
          <w:bCs/>
          <w:sz w:val="28"/>
          <w:szCs w:val="28"/>
          <w:u w:val="single"/>
        </w:rPr>
      </w:pPr>
    </w:p>
    <w:p w14:paraId="4656AD64">
      <w:pPr>
        <w:widowControl/>
        <w:adjustRightInd w:val="0"/>
        <w:snapToGrid w:val="0"/>
        <w:spacing w:line="480" w:lineRule="exact"/>
        <w:rPr>
          <w:rFonts w:hint="eastAsia" w:ascii="宋体" w:hAnsi="宋体"/>
        </w:rPr>
      </w:pPr>
      <w:r>
        <w:rPr>
          <w:rFonts w:hint="eastAsia" w:ascii="楷体_GB2312" w:hAnsi="Times New Roman" w:eastAsia="楷体_GB2312"/>
          <w:bCs/>
          <w:sz w:val="28"/>
          <w:szCs w:val="28"/>
        </w:rPr>
        <w:t>作品类别：</w:t>
      </w:r>
      <w:bookmarkStart w:id="0" w:name="OLE_LINK1"/>
      <w:bookmarkStart w:id="1" w:name="OLE_LINK2"/>
      <w:r>
        <w:rPr>
          <w:rFonts w:hint="eastAsia" w:ascii="楷体_GB2312" w:hAnsi="Times New Roman" w:eastAsia="楷体_GB2312"/>
          <w:bCs/>
          <w:sz w:val="28"/>
          <w:szCs w:val="28"/>
        </w:rPr>
        <w:t xml:space="preserve"> </w:t>
      </w:r>
      <w:bookmarkEnd w:id="0"/>
      <w:bookmarkEnd w:id="1"/>
      <w:r>
        <w:rPr>
          <w:rFonts w:hint="eastAsia" w:ascii="宋体" w:hAnsi="宋体"/>
        </w:rPr>
        <w:t>□软件设计   □</w:t>
      </w:r>
      <w:r>
        <w:rPr>
          <w:rFonts w:hint="eastAsia"/>
        </w:rPr>
        <w:t xml:space="preserve">硬件制作   </w:t>
      </w:r>
      <w:r>
        <w:rPr>
          <w:rFonts w:hint="eastAsia" w:ascii="宋体" w:hAnsi="宋体"/>
        </w:rPr>
        <w:t xml:space="preserve">□工程实践 </w:t>
      </w:r>
      <w:r>
        <w:rPr>
          <w:rFonts w:ascii="宋体" w:hAnsi="宋体"/>
        </w:rPr>
        <w:t xml:space="preserve">  </w:t>
      </w:r>
    </w:p>
    <w:p w14:paraId="1929CAAD">
      <w:pPr>
        <w:widowControl/>
        <w:adjustRightInd w:val="0"/>
        <w:snapToGrid w:val="0"/>
        <w:spacing w:line="480" w:lineRule="exact"/>
        <w:ind w:firstLine="1470" w:firstLineChars="700"/>
        <w:rPr>
          <w:rFonts w:hint="eastAsia" w:ascii="宋体" w:hAnsi="宋体"/>
        </w:rPr>
      </w:pPr>
      <w:r>
        <w:rPr>
          <w:rFonts w:hint="eastAsia" w:ascii="宋体" w:hAnsi="宋体"/>
        </w:rPr>
        <w:t>☑密码应用技术  □其它</w:t>
      </w:r>
    </w:p>
    <w:p w14:paraId="1B6B0FE6">
      <w:pPr>
        <w:widowControl/>
        <w:adjustRightInd w:val="0"/>
        <w:snapToGrid w:val="0"/>
        <w:spacing w:line="480" w:lineRule="exact"/>
        <w:ind w:firstLine="1470" w:firstLineChars="700"/>
        <w:rPr>
          <w:rFonts w:hint="eastAsia" w:ascii="宋体" w:hAnsi="宋体"/>
        </w:rPr>
      </w:pPr>
    </w:p>
    <w:p w14:paraId="78E13ED1">
      <w:pPr>
        <w:widowControl/>
        <w:adjustRightInd w:val="0"/>
        <w:snapToGrid w:val="0"/>
        <w:spacing w:line="480" w:lineRule="exact"/>
        <w:rPr>
          <w:rFonts w:hint="eastAsia" w:ascii="宋体" w:hAnsi="宋体"/>
        </w:rPr>
      </w:pPr>
    </w:p>
    <w:p w14:paraId="7433C3F8">
      <w:pPr>
        <w:widowControl/>
        <w:adjustRightInd w:val="0"/>
        <w:snapToGrid w:val="0"/>
        <w:jc w:val="right"/>
        <w:rPr>
          <w:rFonts w:ascii="楷体_GB2312" w:hAnsi="Times New Roman" w:eastAsia="楷体_GB2312"/>
          <w:bCs/>
          <w:sz w:val="28"/>
          <w:szCs w:val="28"/>
        </w:rPr>
      </w:pPr>
    </w:p>
    <w:p w14:paraId="00F1FE9A">
      <w:pPr>
        <w:widowControl/>
        <w:adjustRightInd w:val="0"/>
        <w:snapToGrid w:val="0"/>
        <w:spacing w:line="480" w:lineRule="exact"/>
        <w:rPr>
          <w:rFonts w:ascii="楷体_GB2312" w:hAnsi="Times New Roman" w:eastAsia="楷体_GB2312"/>
          <w:bCs/>
          <w:sz w:val="28"/>
          <w:szCs w:val="28"/>
        </w:rPr>
      </w:pPr>
    </w:p>
    <w:p w14:paraId="0519D025">
      <w:pPr>
        <w:widowControl/>
        <w:adjustRightInd w:val="0"/>
        <w:snapToGrid w:val="0"/>
        <w:spacing w:line="480" w:lineRule="exact"/>
        <w:rPr>
          <w:rFonts w:ascii="楷体_GB2312" w:hAnsi="Times New Roman" w:eastAsia="楷体_GB2312"/>
          <w:bCs/>
          <w:sz w:val="28"/>
          <w:szCs w:val="28"/>
        </w:rPr>
      </w:pPr>
      <w:bookmarkStart w:id="2" w:name="_GoBack"/>
      <w:bookmarkEnd w:id="2"/>
    </w:p>
    <w:p w14:paraId="4A52C4E0">
      <w:pPr>
        <w:widowControl/>
        <w:adjustRightInd w:val="0"/>
        <w:snapToGrid w:val="0"/>
        <w:spacing w:line="480" w:lineRule="exact"/>
        <w:rPr>
          <w:rFonts w:ascii="楷体_GB2312" w:hAnsi="Times New Roman" w:eastAsia="楷体_GB2312"/>
          <w:bCs/>
          <w:sz w:val="28"/>
          <w:szCs w:val="28"/>
        </w:rPr>
      </w:pPr>
    </w:p>
    <w:p w14:paraId="6457B05F">
      <w:pPr>
        <w:widowControl/>
        <w:adjustRightInd w:val="0"/>
        <w:snapToGrid w:val="0"/>
        <w:spacing w:line="480" w:lineRule="exact"/>
        <w:jc w:val="center"/>
        <w:rPr>
          <w:rFonts w:ascii="楷体_GB2312" w:hAnsi="Times New Roman" w:eastAsia="楷体_GB2312"/>
          <w:b/>
          <w:bCs/>
          <w:sz w:val="36"/>
          <w:szCs w:val="36"/>
        </w:rPr>
      </w:pPr>
      <w:r>
        <w:rPr>
          <w:rFonts w:ascii="楷体_GB2312" w:hAnsi="Times New Roman" w:eastAsia="楷体_GB2312"/>
          <w:b/>
          <w:bCs/>
          <w:sz w:val="36"/>
          <w:szCs w:val="36"/>
        </w:rPr>
        <w:t>202</w:t>
      </w:r>
      <w:r>
        <w:rPr>
          <w:rFonts w:hint="eastAsia" w:ascii="楷体_GB2312" w:hAnsi="Times New Roman" w:eastAsia="楷体_GB2312"/>
          <w:b/>
          <w:bCs/>
          <w:sz w:val="36"/>
          <w:szCs w:val="36"/>
          <w:lang w:val="en-US" w:eastAsia="zh-CN"/>
        </w:rPr>
        <w:t>6</w:t>
      </w:r>
      <w:r>
        <w:rPr>
          <w:rFonts w:hint="eastAsia" w:ascii="楷体_GB2312" w:hAnsi="Times New Roman" w:eastAsia="楷体_GB2312"/>
          <w:b/>
          <w:bCs/>
          <w:sz w:val="36"/>
          <w:szCs w:val="36"/>
        </w:rPr>
        <w:t>年第十</w:t>
      </w:r>
      <w:r>
        <w:rPr>
          <w:rFonts w:hint="eastAsia" w:ascii="楷体_GB2312" w:hAnsi="Times New Roman" w:eastAsia="楷体_GB2312"/>
          <w:b/>
          <w:bCs/>
          <w:sz w:val="36"/>
          <w:szCs w:val="36"/>
          <w:lang w:val="en-US" w:eastAsia="zh-CN"/>
        </w:rPr>
        <w:t>一</w:t>
      </w:r>
      <w:r>
        <w:rPr>
          <w:rFonts w:hint="eastAsia" w:ascii="楷体_GB2312" w:hAnsi="Times New Roman" w:eastAsia="楷体_GB2312"/>
          <w:b/>
          <w:bCs/>
          <w:sz w:val="36"/>
          <w:szCs w:val="36"/>
        </w:rPr>
        <w:t>届全国密码技术竞赛作品设计报告</w:t>
      </w:r>
    </w:p>
    <w:p w14:paraId="1316150A">
      <w:pPr>
        <w:widowControl/>
        <w:adjustRightInd w:val="0"/>
        <w:snapToGrid w:val="0"/>
        <w:spacing w:line="480" w:lineRule="exact"/>
        <w:jc w:val="center"/>
        <w:rPr>
          <w:rFonts w:ascii="楷体_GB2312" w:hAnsi="Times New Roman" w:eastAsia="楷体_GB2312"/>
          <w:bCs/>
          <w:sz w:val="28"/>
          <w:szCs w:val="28"/>
          <w:u w:val="single"/>
        </w:rPr>
      </w:pPr>
      <w:r>
        <w:rPr>
          <w:rFonts w:hint="eastAsia" w:ascii="楷体_GB2312" w:hAnsi="Times New Roman" w:eastAsia="楷体_GB2312"/>
          <w:bCs/>
          <w:sz w:val="28"/>
          <w:szCs w:val="28"/>
          <w:u w:val="single"/>
        </w:rPr>
        <mc:AlternateContent>
          <mc:Choice Requires="wps">
            <w:drawing>
              <wp:anchor distT="0" distB="0" distL="114300" distR="114300" simplePos="0" relativeHeight="251659264" behindDoc="0" locked="0" layoutInCell="1" allowOverlap="1">
                <wp:simplePos x="0" y="0"/>
                <wp:positionH relativeFrom="column">
                  <wp:posOffset>539115</wp:posOffset>
                </wp:positionH>
                <wp:positionV relativeFrom="paragraph">
                  <wp:posOffset>213995</wp:posOffset>
                </wp:positionV>
                <wp:extent cx="4899660" cy="34290"/>
                <wp:effectExtent l="19050" t="19050" r="15240" b="22860"/>
                <wp:wrapNone/>
                <wp:docPr id="1" name="直接连接符 1"/>
                <wp:cNvGraphicFramePr/>
                <a:graphic xmlns:a="http://schemas.openxmlformats.org/drawingml/2006/main">
                  <a:graphicData uri="http://schemas.microsoft.com/office/word/2010/wordprocessingShape">
                    <wps:wsp>
                      <wps:cNvCnPr/>
                      <wps:spPr>
                        <a:xfrm flipV="1">
                          <a:off x="0" y="0"/>
                          <a:ext cx="4899803" cy="3450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42.45pt;margin-top:16.85pt;height:2.7pt;width:385.8pt;z-index:251659264;mso-width-relative:page;mso-height-relative:page;" filled="f" stroked="t" coordsize="21600,21600" o:gfxdata="UEsDBAoAAAAAAIdO4kAAAAAAAAAAAAAAAAAEAAAAZHJzL1BLAwQUAAAACACHTuJAQQvL49UAAAAI&#10;AQAADwAAAGRycy9kb3ducmV2LnhtbE2PzU7DMBCE70i8g7VI3KiT/uGEOD0gcUICWvoA23hJosbr&#10;KHZ/eHuWExxnZzTzbbW5+kGdaYp9YAv5LANF3ATXc2th//nyYEDFhOxwCEwWvinCpr69qbB04cJb&#10;Ou9Sq6SEY4kWupTGUuvYdOQxzsJILN5XmDwmkVOr3YQXKfeDnmfZWnvsWRY6HOm5o+a4O3kLS/Oe&#10;v5mPNuHezM1rcTRuvERr7+/y7AlUomv6C8MvvqBDLUyHcGIX1WDBLAtJWlgsHkGJb1brFaiDHIoc&#10;dF3p/w/UP1BLAwQUAAAACACHTuJAsRge9PoBAADiAwAADgAAAGRycy9lMm9Eb2MueG1srVM7jtsw&#10;EO0D5A4E+1jy/mALlrdYY9Pks0A+/ZiiJAL8gcO17EvkAgHSJVXK9LlNNsfIkNI6yabZIioI8s3M&#10;47zH0epybzTbyYDK2ZrPZyVn0grXKNvV/N3b62cLzjCCbUA7K2t+kMgv10+frAZfyRPXO93IwIjE&#10;YjX4mvcx+qooUPTSAM6cl5aCrQsGIh1DVzQBBmI3ujgpy4ticKHxwQmJSOhmDPKJMTyG0LWtEnLj&#10;xK2RNo6sQWqIJAl75ZGvc7dtK0V83bYoI9M1J6Uxr3QJ7bdpLdYrqLoAvldiagEe08IDTQaUpUuP&#10;VBuIwG6D+ofKKBEcujbOhDPFKCQ7Qirm5QNv3vTgZdZCVqM/mo7/j1a82t0EphqaBM4sGHrwu4/f&#10;fnz4/PP7J1rvvn5h82TS4LGi3Ct7E6YT+puQFO/bYFirlX+fOBJCqtg+W3w4Wiz3kQkCzxbL5aI8&#10;5UxQ7PTsvLxI7MVIk4p9wPhcOsPSpuZa2eQAVLB7gXFMvU9JsHXXSmvCodKWDcS5mJf0uAJoNFsa&#10;CdoaT/LQdpyB7mjmRQyZEp1WTSpP1Ri67ZUObAdpUvI3JvXQyBFdnhM8TgxCfOmaEZ6X9zjJmGiy&#10;pL/4U9MbwH6syaFJubaUnfwdHU27rWsO2eiM09NnvmlM02z9ec7Vv3/N9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BC8vj1QAAAAgBAAAPAAAAAAAAAAEAIAAAACIAAABkcnMvZG93bnJldi54bWxQ&#10;SwECFAAUAAAACACHTuJAsRge9PoBAADiAwAADgAAAAAAAAABACAAAAAkAQAAZHJzL2Uyb0RvYy54&#10;bWxQSwUGAAAAAAYABgBZAQAAkAUAAAAA&#10;">
                <v:fill on="f" focussize="0,0"/>
                <v:stroke weight="3pt" color="#000000 [3200]" joinstyle="round"/>
                <v:imagedata o:title=""/>
                <o:lock v:ext="edit" aspectratio="f"/>
              </v:line>
            </w:pict>
          </mc:Fallback>
        </mc:AlternateContent>
      </w:r>
    </w:p>
    <w:p w14:paraId="5131E305">
      <w:pPr>
        <w:widowControl/>
        <w:adjustRightInd w:val="0"/>
        <w:snapToGrid w:val="0"/>
        <w:spacing w:line="480" w:lineRule="exact"/>
        <w:jc w:val="center"/>
        <w:rPr>
          <w:rFonts w:ascii="楷体_GB2312" w:hAnsi="Times New Roman" w:eastAsia="楷体_GB2312"/>
          <w:bCs/>
          <w:sz w:val="28"/>
          <w:szCs w:val="28"/>
          <w:u w:val="single"/>
        </w:rPr>
      </w:pPr>
    </w:p>
    <w:p w14:paraId="01DF0E1D">
      <w:pPr>
        <w:widowControl/>
        <w:adjustRightInd w:val="0"/>
        <w:snapToGrid w:val="0"/>
        <w:spacing w:line="480" w:lineRule="exact"/>
        <w:jc w:val="center"/>
        <w:rPr>
          <w:rFonts w:ascii="楷体_GB2312" w:hAnsi="Times New Roman" w:eastAsia="楷体_GB2312"/>
          <w:bCs/>
          <w:sz w:val="28"/>
          <w:szCs w:val="28"/>
          <w:u w:val="single"/>
        </w:rPr>
      </w:pPr>
    </w:p>
    <w:p w14:paraId="0D429881">
      <w:pPr>
        <w:widowControl/>
        <w:adjustRightInd w:val="0"/>
        <w:snapToGrid w:val="0"/>
        <w:spacing w:line="700" w:lineRule="exact"/>
        <w:ind w:firstLine="1680" w:firstLineChars="600"/>
        <w:rPr>
          <w:rFonts w:hint="eastAsia" w:ascii="华文中宋" w:hAnsi="华文中宋" w:eastAsia="华文中宋"/>
          <w:bCs/>
          <w:sz w:val="28"/>
          <w:szCs w:val="28"/>
          <w:u w:val="single"/>
        </w:rPr>
      </w:pPr>
      <w:r>
        <w:rPr>
          <w:rFonts w:hint="eastAsia" w:ascii="楷体_GB2312" w:hAnsi="Times New Roman" w:eastAsia="楷体_GB2312"/>
          <w:bCs/>
          <w:sz w:val="28"/>
          <w:szCs w:val="28"/>
        </w:rPr>
        <w:t>作品题目：面向新型电网的细粒度密态聚合与可信数据协同平台</w:t>
      </w:r>
      <w:r>
        <w:rPr>
          <w:rFonts w:hint="eastAsia" w:ascii="华文中宋" w:hAnsi="华文中宋" w:eastAsia="华文中宋"/>
          <w:bCs/>
          <w:sz w:val="28"/>
          <w:szCs w:val="28"/>
          <w:u w:val="single"/>
        </w:rPr>
        <w:t xml:space="preserve"/>
      </w:r>
      <w:r>
        <w:rPr>
          <w:rFonts w:ascii="华文中宋" w:hAnsi="华文中宋" w:eastAsia="华文中宋"/>
          <w:bCs/>
          <w:sz w:val="28"/>
          <w:szCs w:val="28"/>
          <w:u w:val="single"/>
        </w:rPr>
        <w:t xml:space="preserve"/>
      </w:r>
      <w:r>
        <w:rPr>
          <w:rFonts w:hint="eastAsia" w:ascii="华文中宋" w:hAnsi="华文中宋" w:eastAsia="华文中宋"/>
          <w:bCs/>
          <w:sz w:val="28"/>
          <w:szCs w:val="28"/>
          <w:u w:val="single"/>
        </w:rPr>
        <w:t xml:space="preserve"/>
      </w:r>
    </w:p>
    <w:p w14:paraId="4EE13EFD">
      <w:pPr>
        <w:widowControl/>
        <w:adjustRightInd w:val="0"/>
        <w:snapToGrid w:val="0"/>
        <w:spacing w:line="480" w:lineRule="exact"/>
        <w:rPr>
          <w:rFonts w:ascii="楷体_GB2312" w:hAnsi="Times New Roman" w:eastAsia="楷体_GB2312"/>
          <w:bCs/>
          <w:sz w:val="28"/>
          <w:szCs w:val="28"/>
        </w:rPr>
      </w:pPr>
    </w:p>
    <w:p w14:paraId="323A5D9B">
      <w:pPr>
        <w:widowControl/>
        <w:adjustRightInd w:val="0"/>
        <w:snapToGrid w:val="0"/>
        <w:spacing w:line="480" w:lineRule="exact"/>
        <w:ind w:firstLine="560" w:firstLineChars="200"/>
        <w:rPr>
          <w:rFonts w:ascii="楷体_GB2312" w:hAnsi="Times New Roman" w:eastAsia="楷体_GB2312"/>
          <w:bCs/>
          <w:sz w:val="28"/>
          <w:szCs w:val="28"/>
        </w:rPr>
      </w:pPr>
    </w:p>
    <w:p w14:paraId="0425DA28">
      <w:pPr>
        <w:widowControl/>
        <w:adjustRightInd w:val="0"/>
        <w:snapToGrid w:val="0"/>
        <w:spacing w:line="480" w:lineRule="exact"/>
        <w:ind w:firstLine="562" w:firstLineChars="200"/>
        <w:rPr>
          <w:rFonts w:ascii="楷体_GB2312" w:hAnsi="Times New Roman" w:eastAsia="楷体_GB2312"/>
          <w:b/>
          <w:sz w:val="28"/>
          <w:szCs w:val="28"/>
        </w:rPr>
      </w:pPr>
      <w:r>
        <w:rPr>
          <w:rFonts w:hint="eastAsia" w:ascii="楷体_GB2312" w:hAnsi="Times New Roman" w:eastAsia="楷体_GB2312"/>
          <w:b/>
          <w:sz w:val="28"/>
          <w:szCs w:val="28"/>
        </w:rPr>
        <w:t>B类自拟选题</w:t>
      </w:r>
    </w:p>
    <w:p w14:paraId="0A15B53C">
      <w:pPr>
        <w:widowControl/>
        <w:adjustRightInd w:val="0"/>
        <w:snapToGrid w:val="0"/>
        <w:spacing w:line="480" w:lineRule="exact"/>
        <w:ind w:firstLine="560" w:firstLineChars="200"/>
        <w:rPr>
          <w:rFonts w:ascii="楷体_GB2312" w:hAnsi="Times New Roman" w:eastAsia="楷体_GB2312"/>
          <w:bCs/>
          <w:sz w:val="28"/>
          <w:szCs w:val="28"/>
        </w:rPr>
      </w:pPr>
    </w:p>
    <w:p w14:paraId="7DD67DF5">
      <w:pPr>
        <w:widowControl/>
        <w:adjustRightInd w:val="0"/>
        <w:snapToGrid w:val="0"/>
        <w:spacing w:line="480" w:lineRule="exact"/>
        <w:ind w:firstLine="560" w:firstLineChars="200"/>
        <w:rPr>
          <w:rFonts w:ascii="楷体_GB2312" w:hAnsi="Times New Roman" w:eastAsia="楷体_GB2312"/>
          <w:bCs/>
          <w:sz w:val="28"/>
          <w:szCs w:val="28"/>
        </w:rPr>
      </w:pPr>
    </w:p>
    <w:p w14:paraId="28AB24EE">
      <w:pPr>
        <w:widowControl/>
        <w:adjustRightInd w:val="0"/>
        <w:snapToGrid w:val="0"/>
        <w:spacing w:line="480" w:lineRule="exact"/>
        <w:ind w:firstLine="560" w:firstLineChars="200"/>
        <w:rPr>
          <w:rFonts w:ascii="楷体_GB2312" w:hAnsi="Times New Roman" w:eastAsia="楷体_GB2312"/>
          <w:bCs/>
          <w:sz w:val="28"/>
          <w:szCs w:val="28"/>
        </w:rPr>
      </w:pPr>
    </w:p>
    <w:p w14:paraId="48B47AEE">
      <w:pPr>
        <w:widowControl/>
        <w:adjustRightInd w:val="0"/>
        <w:snapToGrid w:val="0"/>
        <w:spacing w:line="480" w:lineRule="exact"/>
        <w:ind w:firstLine="560" w:firstLineChars="200"/>
        <w:rPr>
          <w:rFonts w:ascii="楷体_GB2312" w:hAnsi="Times New Roman" w:eastAsia="楷体_GB2312"/>
          <w:bCs/>
          <w:sz w:val="28"/>
          <w:szCs w:val="28"/>
        </w:rPr>
      </w:pPr>
    </w:p>
    <w:p w14:paraId="4EDCC657">
      <w:pPr>
        <w:widowControl/>
        <w:adjustRightInd w:val="0"/>
        <w:snapToGrid w:val="0"/>
        <w:spacing w:line="600" w:lineRule="exact"/>
        <w:ind w:firstLine="560" w:firstLineChars="200"/>
        <w:jc w:val="center"/>
        <w:rPr>
          <w:rFonts w:ascii="楷体_GB2312" w:hAnsi="Times New Roman" w:eastAsia="楷体_GB2312"/>
          <w:bCs/>
          <w:sz w:val="28"/>
          <w:szCs w:val="28"/>
        </w:rPr>
      </w:pPr>
      <w:r>
        <w:rPr>
          <w:rFonts w:hint="eastAsia" w:ascii="楷体_GB2312" w:hAnsi="Times New Roman" w:eastAsia="楷体_GB2312"/>
          <w:bCs/>
          <w:sz w:val="28"/>
          <w:szCs w:val="28"/>
        </w:rPr>
        <w:t>2026年10月18日</w:t>
      </w:r>
    </w:p>
    <w:p w14:paraId="06B1D532">
      <w:pPr>
        <w:widowControl/>
        <w:adjustRightInd w:val="0"/>
        <w:snapToGrid w:val="0"/>
        <w:spacing w:line="600" w:lineRule="exact"/>
        <w:ind w:firstLine="560" w:firstLineChars="200"/>
        <w:jc w:val="center"/>
        <w:rPr>
          <w:rFonts w:ascii="楷体_GB2312" w:hAnsi="Times New Roman" w:eastAsia="楷体_GB2312"/>
          <w:bCs/>
          <w:sz w:val="28"/>
          <w:szCs w:val="28"/>
        </w:rPr>
      </w:pPr>
      <w:r>
        <w:rPr>
          <w:rFonts w:hint="eastAsia" w:ascii="楷体_GB2312" w:hAnsi="Times New Roman" w:eastAsia="楷体_GB2312"/>
          <w:bCs/>
          <w:sz w:val="28"/>
          <w:szCs w:val="28"/>
        </w:rPr>
        <w:t>中国密码学会</w:t>
      </w:r>
    </w:p>
    <w:p w14:paraId="6F4C8D9E">
      <w:pPr>
        <w:widowControl/>
        <w:adjustRightInd w:val="0"/>
        <w:snapToGrid w:val="0"/>
        <w:spacing w:line="480" w:lineRule="exact"/>
        <w:ind w:firstLine="560" w:firstLineChars="200"/>
        <w:rPr>
          <w:rFonts w:ascii="楷体_GB2312" w:hAnsi="Times New Roman" w:eastAsia="楷体_GB2312"/>
          <w:bCs/>
          <w:sz w:val="28"/>
          <w:szCs w:val="28"/>
        </w:rPr>
        <w:sectPr>
          <w:pgSz w:w="11906" w:h="16838"/>
          <w:pgMar w:top="1134" w:right="1134" w:bottom="1134" w:left="1134" w:header="851" w:footer="992" w:gutter="0"/>
          <w:cols w:space="425" w:num="1"/>
          <w:docGrid w:type="lines" w:linePitch="312" w:charSpace="0"/>
        </w:sectPr>
      </w:pPr>
    </w:p>
    <w:tbl>
      <w:tblPr>
        <w:tblStyle w:val="7"/>
        <w:tblW w:w="8913"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913"/>
      </w:tblGrid>
      <w:tr w14:paraId="01250D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913" w:type="dxa"/>
            <w:tcBorders>
              <w:top w:val="single" w:color="auto" w:sz="2" w:space="0"/>
              <w:left w:val="single" w:color="auto" w:sz="2" w:space="0"/>
              <w:bottom w:val="single" w:color="auto" w:sz="2" w:space="0"/>
              <w:right w:val="single" w:color="auto" w:sz="2" w:space="0"/>
            </w:tcBorders>
            <w:vAlign w:val="center"/>
          </w:tcPr>
          <w:p w14:paraId="66E1D7EA">
            <w:pPr>
              <w:jc w:val="center"/>
              <w:rPr>
                <w:sz w:val="24"/>
              </w:rPr>
            </w:pPr>
            <w:r>
              <w:rPr>
                <w:rFonts w:hint="eastAsia"/>
                <w:spacing w:val="-8"/>
                <w:sz w:val="30"/>
              </w:rPr>
              <w:t>基本信息表</w:t>
            </w:r>
          </w:p>
        </w:tc>
      </w:tr>
      <w:tr w14:paraId="05860E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913" w:type="dxa"/>
            <w:tcBorders>
              <w:top w:val="single" w:color="auto" w:sz="2" w:space="0"/>
              <w:left w:val="single" w:color="auto" w:sz="2" w:space="0"/>
              <w:bottom w:val="single" w:color="auto" w:sz="2" w:space="0"/>
              <w:right w:val="single" w:color="auto" w:sz="2" w:space="0"/>
            </w:tcBorders>
            <w:vAlign w:val="center"/>
          </w:tcPr>
          <w:p w14:paraId="05721B18">
            <w:pPr>
              <w:rPr>
                <w:spacing w:val="-8"/>
                <w:sz w:val="30"/>
              </w:rPr>
            </w:pPr>
            <w:r>
              <w:rPr>
                <w:rFonts w:hint="eastAsia"/>
                <w:spacing w:val="-8"/>
                <w:sz w:val="30"/>
              </w:rPr>
              <w:t>编号：CACR2026E7YZBA</w:t>
            </w:r>
          </w:p>
        </w:tc>
      </w:tr>
      <w:tr w14:paraId="729235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913" w:type="dxa"/>
            <w:tcBorders>
              <w:top w:val="single" w:color="auto" w:sz="2" w:space="0"/>
              <w:left w:val="single" w:color="auto" w:sz="2" w:space="0"/>
              <w:bottom w:val="single" w:color="auto" w:sz="2" w:space="0"/>
              <w:right w:val="single" w:color="auto" w:sz="2" w:space="0"/>
            </w:tcBorders>
            <w:vAlign w:val="center"/>
          </w:tcPr>
          <w:p w14:paraId="02F0FFCE">
            <w:pPr>
              <w:rPr>
                <w:spacing w:val="-8"/>
                <w:sz w:val="30"/>
              </w:rPr>
            </w:pPr>
            <w:r>
              <w:rPr>
                <w:rFonts w:hint="eastAsia"/>
                <w:spacing w:val="-8"/>
                <w:sz w:val="30"/>
              </w:rPr>
              <w:t>作品题目：面向新型电网的细粒度密态聚合与可信数据协同平台</w:t>
            </w:r>
          </w:p>
        </w:tc>
      </w:tr>
      <w:tr w14:paraId="4CC362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19" w:hRule="atLeast"/>
          <w:jc w:val="center"/>
        </w:trPr>
        <w:tc>
          <w:tcPr>
            <w:tcW w:w="8913" w:type="dxa"/>
            <w:tcBorders>
              <w:top w:val="single" w:color="auto" w:sz="2" w:space="0"/>
              <w:left w:val="single" w:color="auto" w:sz="2" w:space="0"/>
              <w:bottom w:val="single" w:color="auto" w:sz="4" w:space="0"/>
              <w:right w:val="single" w:color="auto" w:sz="2" w:space="0"/>
            </w:tcBorders>
          </w:tcPr>
          <w:p w14:paraId="6E18E984">
            <w:pPr>
              <w:adjustRightInd w:val="0"/>
              <w:snapToGrid w:val="0"/>
              <w:spacing w:line="360" w:lineRule="auto"/>
              <w:ind w:left="1500" w:hanging="1500" w:hangingChars="500"/>
              <w:jc w:val="left"/>
              <w:rPr>
                <w:snapToGrid w:val="0"/>
                <w:sz w:val="24"/>
              </w:rPr>
            </w:pPr>
            <w:r>
              <w:rPr>
                <w:rFonts w:hint="eastAsia"/>
                <w:snapToGrid w:val="0"/>
                <w:sz w:val="30"/>
                <w:szCs w:val="30"/>
              </w:rPr>
              <w:t>作品类别：</w:t>
            </w:r>
            <w:r>
              <w:rPr>
                <w:rFonts w:hint="eastAsia" w:ascii="宋体" w:hAnsi="宋体"/>
              </w:rPr>
              <w:t/>
            </w:r>
            <w:r>
              <w:rPr>
                <w:rFonts w:hint="eastAsia"/>
              </w:rPr>
              <w:t xml:space="preserve"/>
            </w:r>
            <w:r>
              <w:rPr>
                <w:rFonts w:hint="eastAsia" w:ascii="宋体" w:hAnsi="宋体"/>
              </w:rPr>
              <w:t xml:space="preserve"/>
            </w:r>
            <w:r>
              <w:rPr>
                <w:rFonts w:ascii="宋体" w:hAnsi="宋体"/>
              </w:rPr>
              <w:t xml:space="preserve"/>
            </w:r>
            <w:r>
              <w:rPr>
                <w:rFonts w:hint="eastAsia" w:ascii="宋体" w:hAnsi="宋体"/>
              </w:rPr>
              <w:t/>
            </w:r>
            <w:r>
              <w:rPr>
                <w:rFonts w:ascii="楷体_GB2312" w:hAnsi="楷体_GB2312" w:eastAsia="楷体_GB2312"/>
                <w:sz w:val="24"/>
              </w:rPr>
              <w:t>□软件设计  □硬件制作  □工程实践  ☑密码技术应用  □其它</w:t>
            </w:r>
          </w:p>
        </w:tc>
      </w:tr>
      <w:tr w14:paraId="4B036C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105" w:hRule="atLeast"/>
          <w:jc w:val="center"/>
        </w:trPr>
        <w:tc>
          <w:tcPr>
            <w:tcW w:w="8913" w:type="dxa"/>
            <w:tcBorders>
              <w:top w:val="single" w:color="auto" w:sz="4" w:space="0"/>
              <w:left w:val="single" w:color="auto" w:sz="2" w:space="0"/>
              <w:bottom w:val="single" w:color="auto" w:sz="2" w:space="0"/>
              <w:right w:val="single" w:color="auto" w:sz="2" w:space="0"/>
            </w:tcBorders>
          </w:tcPr>
          <w:p w14:paraId="7EA73BA4">
            <w:pPr>
              <w:rPr>
                <w:sz w:val="30"/>
              </w:rPr>
            </w:pPr>
            <w:r>
              <w:rPr>
                <w:rFonts w:hint="eastAsia"/>
                <w:sz w:val="30"/>
              </w:rPr>
              <w:t>作品内容摘要：
本作品以团队自主PFDAM方案为核心，让聚合网关在不读取单点明文的条件下，按区域、资源类别与时段完成细粒度密态聚合，为新型电网多主体协同提供可直接使用的群体统计。授权条件直接绑定参与计算的密文集合，固定分组、完整上报与共享历史统一控制精确结果发布，联合签名贯穿任务、密文快照、回执和发布决定，使数据使用范围与结果来源有据可核。园区需求响应评估从三个参考日和一个事件日的16份统计端签名输入，精确复算降负荷、相对变化、能量差和覆盖率，把密码计算转化为可核验的业务指标。系统在三种规模下完成20对正式同条件实验；其中300输入、150授权点配置的保护组耗时中位数为84.90秒，相对同条件密态对照的逐对发布保护增量中位数约0.12%，10次均达到180秒目标。ECDSA与ML-DSA-65双签同时验证、实际混合密钥建立及SM2、SM3与TLS内SM4增强，将分层密码保护和密钥管理落实到真实任务。作品把自主密码方案、低增量开销的发布控制和可核验的需求响应应用结合，形成面向园区、居民与充电设施的协同统计平台。</w:t>
            </w:r>
          </w:p>
        </w:tc>
      </w:tr>
      <w:tr w14:paraId="449FB0E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1187" w:hRule="atLeast"/>
          <w:jc w:val="center"/>
        </w:trPr>
        <w:tc>
          <w:tcPr>
            <w:tcW w:w="8913" w:type="dxa"/>
            <w:tcBorders>
              <w:top w:val="single" w:color="auto" w:sz="2" w:space="0"/>
              <w:left w:val="single" w:color="auto" w:sz="2" w:space="0"/>
              <w:bottom w:val="single" w:color="auto" w:sz="2" w:space="0"/>
              <w:right w:val="single" w:color="auto" w:sz="2" w:space="0"/>
            </w:tcBorders>
          </w:tcPr>
          <w:p w14:paraId="5D556087">
            <w:pPr>
              <w:rPr>
                <w:sz w:val="30"/>
              </w:rPr>
            </w:pPr>
            <w:r>
              <w:rPr>
                <w:rFonts w:hint="eastAsia"/>
                <w:sz w:val="30"/>
              </w:rPr>
              <w:t>关键词（五个）：细粒度密态聚合  PFDAM  受控发布  联合签名  能源数据协同</w:t>
            </w:r>
          </w:p>
        </w:tc>
      </w:tr>
    </w:tbl>
    <w:p w14:paraId="3D5215B6">
      <w:pPr>
        <w:widowControl/>
        <w:adjustRightInd w:val="0"/>
        <w:snapToGrid w:val="0"/>
        <w:spacing w:line="480" w:lineRule="exact"/>
        <w:rPr>
          <w:rFonts w:ascii="楷体_GB2312" w:hAnsi="Times New Roman" w:eastAsia="楷体_GB2312"/>
          <w:bCs/>
          <w:sz w:val="28"/>
          <w:szCs w:val="28"/>
        </w:rPr>
      </w:pPr>
    </w:p>
    <w:p w14:paraId="1117BCC3">
      <w:pPr>
        <w:widowControl/>
        <w:adjustRightInd w:val="0"/>
        <w:snapToGrid w:val="0"/>
        <w:spacing w:line="480" w:lineRule="exact"/>
        <w:rPr>
          <w:rFonts w:ascii="楷体_GB2312" w:hAnsi="Times New Roman" w:eastAsia="楷体_GB2312"/>
          <w:bCs/>
          <w:sz w:val="28"/>
          <w:szCs w:val="28"/>
        </w:rPr>
        <w:sectPr>
          <w:headerReference r:id="rId3" w:type="default"/>
          <w:footerReference r:id="rId4" w:type="default"/>
          <w:pgSz w:w="11906" w:h="16838"/>
          <w:pgMar w:top="1134" w:right="1134" w:bottom="1134" w:left="1134" w:header="851" w:footer="992" w:gutter="0"/>
          <w:pgNumType w:start="1"/>
          <w:cols w:space="425" w:num="1"/>
          <w:docGrid w:type="lines" w:linePitch="312" w:charSpace="0"/>
        </w:sectPr>
      </w:pPr>
    </w:p>
    <w:p w14:paraId="56B14FEB">
      <w:pPr>
        <w:pStyle w:val="2"/>
        <w:keepNext/>
        <w:spacing w:before="240" w:after="120" w:line="360" w:lineRule="auto"/>
        <w:rPr>
          <w:rFonts w:hint="eastAsia" w:ascii="华文楷体" w:hAnsi="华文楷体" w:eastAsia="华文楷体"/>
          <w:sz w:val="30"/>
          <w:szCs w:val="30"/>
        </w:rPr>
      </w:pPr>
      <w:r>
        <w:rPr>
          <w:rFonts w:hint="eastAsia" w:ascii="华文楷体" w:hAnsi="华文楷体" w:eastAsia="华文楷体"/>
          <w:sz w:val="30"/>
          <w:szCs w:val="30"/>
        </w:rPr>
        <w:t>1 作品功能与性能说明</w:t>
      </w:r>
    </w:p>
    <w:p w14:paraId="2734E110">
      <w:pPr>
        <w:pStyle w:val="3"/>
        <w:keepNext/>
        <w:spacing w:before="160" w:after="120" w:line="360" w:lineRule="auto"/>
        <w:rPr>
          <w:rFonts w:ascii="Times New Roman" w:hAnsi="Times New Roman" w:eastAsia="黑体" w:cs="Times New Roman"/>
          <w:sz w:val="28"/>
          <w:szCs w:val="28"/>
        </w:rPr>
      </w:pPr>
      <w:r>
        <w:rPr>
          <w:rFonts w:ascii="Times New Roman" w:hAnsi="Times New Roman" w:eastAsia="黑体" w:cs="Times New Roman"/>
          <w:sz w:val="28"/>
          <w:szCs w:val="28"/>
        </w:rPr>
        <w:t>1.1 面向多主体协同的电网数据需求</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新型电网需要把居民、园区和充电设施的分散读数，转化为按需可用的群体统计。园区响应比较参考日与事件日负荷，居民和充电分析按区域、类别组织数据。协同的关键是共同利用群体信息，并将涉及用电习惯、企业经营的原始读数接触范围、统计用途和发布规则落实到任务。</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国家发展改革委、国家能源局《关于促进电网高质量发展的指导意见》提出主配微协同新型电网平台与数据要素利用[1]；《关于加快推进虚拟电厂发展的指导意见》要求资源聚合、需求响应及源头加密、防篡改和数据安全管理[2]。本作品将这些需求转化为源侧保护、细粒度密文授权和可核验响应评估，使密码技术直接服务负荷协同。</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本作品以团队自主PFDAM为核心，使网关无需读取单点明文即可按授权筛选、聚合报告，提供群体总和、平均值与有效报告数。精确结果发布、联合签名和密钥管理纳入同一流程，业务人员既能取得按需统计，也能核查数据范围、参与源和发布依据。</w:t>
      </w:r>
    </w:p>
    <w:p w14:paraId="2734E110">
      <w:pPr>
        <w:pStyle w:val="3"/>
        <w:keepNext/>
        <w:spacing w:before="160" w:after="120" w:line="360" w:lineRule="auto"/>
        <w:rPr>
          <w:rFonts w:ascii="Times New Roman" w:hAnsi="Times New Roman" w:eastAsia="黑体" w:cs="Times New Roman"/>
          <w:sz w:val="28"/>
          <w:szCs w:val="28"/>
        </w:rPr>
      </w:pPr>
      <w:r>
        <w:rPr>
          <w:rFonts w:ascii="Times New Roman" w:hAnsi="Times New Roman" w:eastAsia="黑体" w:cs="Times New Roman"/>
          <w:sz w:val="28"/>
          <w:szCs w:val="28"/>
        </w:rPr>
        <w:t>1.2 三项核心技术优势</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b/>
        </w:rPr>
        <w:t>自主PFDAM使授权直接作用于密文集合。</w:t>
      </w:r>
      <w:r>
        <w:rPr>
          <w:rFonts w:hint="eastAsia" w:ascii="楷体_GB2312" w:hAnsi="Times New Roman" w:eastAsia="楷体_GB2312"/>
          <w:bCs/>
          <w:sz w:val="28"/>
          <w:szCs w:val="28"/>
        </w:rPr>
        <w:t>标签授权、配对联合检查与密文聚合共同决定哪些报告进入计算，网关据此完成细粒度统计。系统将数据版本、时段、参与源和算法配置绑定到任务，使申请权限与实际处理对象对应，兼顾源侧读数保护和按需统计的可用性。</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b/>
        </w:rPr>
        <w:t>精确计算与统一发布控制协同运行。</w:t>
      </w:r>
      <w:r>
        <w:rPr>
          <w:rFonts w:hint="eastAsia" w:ascii="楷体_GB2312" w:hAnsi="Times New Roman" w:eastAsia="楷体_GB2312"/>
          <w:bCs/>
          <w:sz w:val="28"/>
          <w:szCs w:val="28"/>
        </w:rPr>
        <w:t>完整固定分组、上报完整性与共享历史共同决定结果能否公开，页面、接口和证据导出执行同一规则。作品由此把保护范围从密文处理延伸到结果使用，在保留精确统计值的同时，管理跨任务、函数与账户的发布行为。</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b/>
        </w:rPr>
        <w:t>签名证据让业务结果可追溯、可复算。</w:t>
      </w:r>
      <w:r>
        <w:rPr>
          <w:rFonts w:hint="eastAsia" w:ascii="楷体_GB2312" w:hAnsi="Times New Roman" w:eastAsia="楷体_GB2312"/>
          <w:bCs/>
          <w:sz w:val="28"/>
          <w:szCs w:val="28"/>
        </w:rPr>
        <w:t>授权、逐源密文快照、聚合回执、统计端结果和发布决定相互绑定，园区评估从16份统计端签名输入精确复算指标。联合签名、混合通信与国密增强分别保护身份、业务对象和通信，完整保留业务核验依据。</w:t>
      </w:r>
    </w:p>
    <w:p w14:paraId="2734E110">
      <w:pPr>
        <w:pStyle w:val="3"/>
        <w:keepNext/>
        <w:spacing w:before="160" w:after="120" w:line="360" w:lineRule="auto"/>
        <w:rPr>
          <w:rFonts w:ascii="Times New Roman" w:hAnsi="Times New Roman" w:eastAsia="黑体" w:cs="Times New Roman"/>
          <w:sz w:val="28"/>
          <w:szCs w:val="28"/>
        </w:rPr>
      </w:pPr>
      <w:r>
        <w:rPr>
          <w:rFonts w:ascii="Times New Roman" w:hAnsi="Times New Roman" w:eastAsia="黑体" w:cs="Times New Roman"/>
          <w:sz w:val="28"/>
          <w:szCs w:val="28"/>
        </w:rPr>
        <w:t>1.3 业务需求与应用价值</w:t>
      </w:r>
    </w:p>
    <w:tbl>
      <w:tblPr>
        <w:tblW w:type="auto" w:w="0"/>
        <w:tblLayout w:type="fixed"/>
        <w:tblLook w:firstColumn="1" w:firstRow="1" w:lastColumn="0" w:lastRow="0" w:noHBand="0" w:noVBand="1" w:val="04A0"/>
        <w:tblBorders>
          <w:top w:val="single" w:sz="4" w:color="BFC9D0"/>
          <w:bottom w:val="single" w:sz="4" w:color="BFC9D0"/>
          <w:left w:val="single" w:sz="4" w:color="BFC9D0"/>
          <w:right w:val="single" w:sz="4" w:color="BFC9D0"/>
          <w:insideH w:val="single" w:sz="4" w:color="BFC9D0"/>
          <w:insideV w:val="single" w:sz="4" w:color="BFC9D0"/>
        </w:tblBorders>
      </w:tblPr>
      <w:tblGrid>
        <w:gridCol w:w="2041"/>
        <w:gridCol w:w="4139"/>
        <w:gridCol w:w="3118"/>
      </w:tblGrid>
      <w:tr>
        <w:trPr>
          <w:cantSplit/>
          <w:tblHeader/>
        </w:trPr>
        <w:tc>
          <w:tcPr>
            <w:tcW w:type="dxa" w:w="2041"/>
            <w:tcMar>
              <w:top w:w="80" w:type="dxa"/>
              <w:bottom w:w="80" w:type="dxa"/>
              <w:left w:w="80" w:type="dxa"/>
              <w:right w:w="80" w:type="dxa"/>
            </w:tcMar>
          </w:tcPr>
          <w:p>
            <w:pPr>
              <w:spacing w:before="80" w:after="80" w:line="276" w:lineRule="auto"/>
            </w:pPr>
            <w:r>
              <w:rPr>
                <w:rFonts w:ascii="楷体_GB2312" w:hAnsi="楷体_GB2312" w:eastAsia="楷体_GB2312"/>
                <w:b/>
                <w:sz w:val="24"/>
              </w:rPr>
              <w:t>业务需求</w:t>
            </w:r>
          </w:p>
        </w:tc>
        <w:tc>
          <w:tcPr>
            <w:tcW w:type="dxa" w:w="4139"/>
            <w:tcMar>
              <w:top w:w="80" w:type="dxa"/>
              <w:bottom w:w="80" w:type="dxa"/>
              <w:left w:w="80" w:type="dxa"/>
              <w:right w:w="80" w:type="dxa"/>
            </w:tcMar>
          </w:tcPr>
          <w:p>
            <w:pPr>
              <w:spacing w:before="80" w:after="80" w:line="276" w:lineRule="auto"/>
            </w:pPr>
            <w:r>
              <w:rPr>
                <w:rFonts w:ascii="楷体_GB2312" w:hAnsi="楷体_GB2312" w:eastAsia="楷体_GB2312"/>
                <w:b/>
                <w:sz w:val="24"/>
              </w:rPr>
              <w:t>平台功能</w:t>
            </w:r>
          </w:p>
        </w:tc>
        <w:tc>
          <w:tcPr>
            <w:tcW w:type="dxa" w:w="3118"/>
            <w:tcMar>
              <w:top w:w="80" w:type="dxa"/>
              <w:bottom w:w="80" w:type="dxa"/>
              <w:left w:w="80" w:type="dxa"/>
              <w:right w:w="80" w:type="dxa"/>
            </w:tcMar>
          </w:tcPr>
          <w:p>
            <w:pPr>
              <w:spacing w:before="80" w:after="80" w:line="276" w:lineRule="auto"/>
            </w:pPr>
            <w:r>
              <w:rPr>
                <w:rFonts w:ascii="楷体_GB2312" w:hAnsi="楷体_GB2312" w:eastAsia="楷体_GB2312"/>
                <w:b/>
                <w:sz w:val="24"/>
              </w:rPr>
              <w:t>应用价值</w:t>
            </w:r>
          </w:p>
        </w:tc>
      </w:tr>
      <w:tr>
        <w:trPr>
          <w:cantSplit/>
        </w:trPr>
        <w:tc>
          <w:tcPr>
            <w:tcW w:type="dxa" w:w="2041"/>
            <w:tcMar>
              <w:top w:w="80" w:type="dxa"/>
              <w:bottom w:w="80" w:type="dxa"/>
              <w:left w:w="80" w:type="dxa"/>
              <w:right w:w="80" w:type="dxa"/>
            </w:tcMar>
          </w:tcPr>
          <w:p>
            <w:pPr>
              <w:spacing w:before="80" w:after="80" w:line="276" w:lineRule="auto"/>
            </w:pPr>
            <w:r>
              <w:rPr>
                <w:rFonts w:ascii="楷体_GB2312" w:hAnsi="楷体_GB2312" w:eastAsia="楷体_GB2312"/>
                <w:b w:val="0"/>
                <w:sz w:val="24"/>
              </w:rPr>
              <w:t>多主体联合统计负荷</w:t>
            </w:r>
          </w:p>
        </w:tc>
        <w:tc>
          <w:tcPr>
            <w:tcW w:type="dxa" w:w="4139"/>
            <w:tcMar>
              <w:top w:w="80" w:type="dxa"/>
              <w:bottom w:w="80" w:type="dxa"/>
              <w:left w:w="80" w:type="dxa"/>
              <w:right w:w="80" w:type="dxa"/>
            </w:tcMar>
          </w:tcPr>
          <w:p>
            <w:pPr>
              <w:spacing w:before="80" w:after="80" w:line="276" w:lineRule="auto"/>
            </w:pPr>
            <w:r>
              <w:rPr>
                <w:rFonts w:ascii="楷体_GB2312" w:hAnsi="楷体_GB2312" w:eastAsia="楷体_GB2312"/>
                <w:b w:val="0"/>
                <w:sz w:val="24"/>
              </w:rPr>
              <w:t>独立Source身份、源侧加密与密文聚合</w:t>
            </w:r>
          </w:p>
        </w:tc>
        <w:tc>
          <w:tcPr>
            <w:tcW w:type="dxa" w:w="3118"/>
            <w:tcMar>
              <w:top w:w="80" w:type="dxa"/>
              <w:bottom w:w="80" w:type="dxa"/>
              <w:left w:w="80" w:type="dxa"/>
              <w:right w:w="80" w:type="dxa"/>
            </w:tcMar>
          </w:tcPr>
          <w:p>
            <w:pPr>
              <w:spacing w:before="80" w:after="80" w:line="276" w:lineRule="auto"/>
            </w:pPr>
            <w:r>
              <w:rPr>
                <w:rFonts w:ascii="楷体_GB2312" w:hAnsi="楷体_GB2312" w:eastAsia="楷体_GB2312"/>
                <w:b w:val="0"/>
                <w:sz w:val="24"/>
              </w:rPr>
              <w:t>获得授权群体统计，源侧保留逐户读数</w:t>
            </w:r>
          </w:p>
        </w:tc>
      </w:tr>
      <w:tr>
        <w:trPr>
          <w:cantSplit/>
        </w:trPr>
        <w:tc>
          <w:tcPr>
            <w:tcW w:type="dxa" w:w="2041"/>
            <w:tcMar>
              <w:top w:w="80" w:type="dxa"/>
              <w:bottom w:w="80" w:type="dxa"/>
              <w:left w:w="80" w:type="dxa"/>
              <w:right w:w="80" w:type="dxa"/>
            </w:tcMar>
          </w:tcPr>
          <w:p>
            <w:pPr>
              <w:spacing w:before="80" w:after="80" w:line="276" w:lineRule="auto"/>
            </w:pPr>
            <w:r>
              <w:rPr>
                <w:rFonts w:ascii="楷体_GB2312" w:hAnsi="楷体_GB2312" w:eastAsia="楷体_GB2312"/>
                <w:b w:val="0"/>
                <w:sz w:val="24"/>
              </w:rPr>
              <w:t>按需使用不同区域和类别的数据</w:t>
            </w:r>
          </w:p>
        </w:tc>
        <w:tc>
          <w:tcPr>
            <w:tcW w:type="dxa" w:w="4139"/>
            <w:tcMar>
              <w:top w:w="80" w:type="dxa"/>
              <w:bottom w:w="80" w:type="dxa"/>
              <w:left w:w="80" w:type="dxa"/>
              <w:right w:w="80" w:type="dxa"/>
            </w:tcMar>
          </w:tcPr>
          <w:p>
            <w:pPr>
              <w:spacing w:before="80" w:after="80" w:line="276" w:lineRule="auto"/>
            </w:pPr>
            <w:r>
              <w:rPr>
                <w:rFonts w:ascii="楷体_GB2312" w:hAnsi="楷体_GB2312" w:eastAsia="楷体_GB2312"/>
                <w:b w:val="0"/>
                <w:sz w:val="24"/>
              </w:rPr>
              <w:t>主体、区域、资源类别、时段与统计函数授权</w:t>
            </w:r>
          </w:p>
        </w:tc>
        <w:tc>
          <w:tcPr>
            <w:tcW w:type="dxa" w:w="3118"/>
            <w:tcMar>
              <w:top w:w="80" w:type="dxa"/>
              <w:bottom w:w="80" w:type="dxa"/>
              <w:left w:w="80" w:type="dxa"/>
              <w:right w:w="80" w:type="dxa"/>
            </w:tcMar>
          </w:tcPr>
          <w:p>
            <w:pPr>
              <w:spacing w:before="80" w:after="80" w:line="276" w:lineRule="auto"/>
            </w:pPr>
            <w:r>
              <w:rPr>
                <w:rFonts w:ascii="楷体_GB2312" w:hAnsi="楷体_GB2312" w:eastAsia="楷体_GB2312"/>
                <w:b w:val="0"/>
                <w:sz w:val="24"/>
              </w:rPr>
              <w:t>签名任务绑定业务范围，使授权约束计算对象</w:t>
            </w:r>
          </w:p>
        </w:tc>
      </w:tr>
      <w:tr>
        <w:trPr>
          <w:cantSplit/>
        </w:trPr>
        <w:tc>
          <w:tcPr>
            <w:tcW w:type="dxa" w:w="2041"/>
            <w:tcMar>
              <w:top w:w="80" w:type="dxa"/>
              <w:bottom w:w="80" w:type="dxa"/>
              <w:left w:w="80" w:type="dxa"/>
              <w:right w:w="80" w:type="dxa"/>
            </w:tcMar>
          </w:tcPr>
          <w:p>
            <w:pPr>
              <w:spacing w:before="80" w:after="80" w:line="276" w:lineRule="auto"/>
            </w:pPr>
            <w:r>
              <w:rPr>
                <w:rFonts w:ascii="楷体_GB2312" w:hAnsi="楷体_GB2312" w:eastAsia="楷体_GB2312"/>
                <w:b w:val="0"/>
                <w:sz w:val="24"/>
              </w:rPr>
              <w:t>管理精确统计的对外提供</w:t>
            </w:r>
          </w:p>
        </w:tc>
        <w:tc>
          <w:tcPr>
            <w:tcW w:type="dxa" w:w="4139"/>
            <w:tcMar>
              <w:top w:w="80" w:type="dxa"/>
              <w:bottom w:w="80" w:type="dxa"/>
              <w:left w:w="80" w:type="dxa"/>
              <w:right w:w="80" w:type="dxa"/>
            </w:tcMar>
          </w:tcPr>
          <w:p>
            <w:pPr>
              <w:spacing w:before="80" w:after="80" w:line="276" w:lineRule="auto"/>
            </w:pPr>
            <w:r>
              <w:rPr>
                <w:rFonts w:ascii="楷体_GB2312" w:hAnsi="楷体_GB2312" w:eastAsia="楷体_GB2312"/>
                <w:b w:val="0"/>
                <w:sz w:val="24"/>
              </w:rPr>
              <w:t>固定分组、登记规模、完整上报与共享发布历史</w:t>
            </w:r>
          </w:p>
        </w:tc>
        <w:tc>
          <w:tcPr>
            <w:tcW w:type="dxa" w:w="3118"/>
            <w:tcMar>
              <w:top w:w="80" w:type="dxa"/>
              <w:bottom w:w="80" w:type="dxa"/>
              <w:left w:w="80" w:type="dxa"/>
              <w:right w:w="80" w:type="dxa"/>
            </w:tcMar>
          </w:tcPr>
          <w:p>
            <w:pPr>
              <w:spacing w:before="80" w:after="80" w:line="276" w:lineRule="auto"/>
            </w:pPr>
            <w:r>
              <w:rPr>
                <w:rFonts w:ascii="楷体_GB2312" w:hAnsi="楷体_GB2312" w:eastAsia="楷体_GB2312"/>
                <w:b w:val="0"/>
                <w:sz w:val="24"/>
              </w:rPr>
              <w:t>跨入口执行统一规则，提供获准结果与签名决定</w:t>
            </w:r>
          </w:p>
        </w:tc>
      </w:tr>
      <w:tr>
        <w:trPr>
          <w:cantSplit/>
        </w:trPr>
        <w:tc>
          <w:tcPr>
            <w:tcW w:type="dxa" w:w="2041"/>
            <w:tcMar>
              <w:top w:w="80" w:type="dxa"/>
              <w:bottom w:w="80" w:type="dxa"/>
              <w:left w:w="80" w:type="dxa"/>
              <w:right w:w="80" w:type="dxa"/>
            </w:tcMar>
          </w:tcPr>
          <w:p>
            <w:pPr>
              <w:spacing w:before="80" w:after="80" w:line="276" w:lineRule="auto"/>
            </w:pPr>
            <w:r>
              <w:rPr>
                <w:rFonts w:ascii="楷体_GB2312" w:hAnsi="楷体_GB2312" w:eastAsia="楷体_GB2312"/>
                <w:b w:val="0"/>
                <w:sz w:val="24"/>
              </w:rPr>
              <w:t>核对结果的来源与处理记录</w:t>
            </w:r>
          </w:p>
        </w:tc>
        <w:tc>
          <w:tcPr>
            <w:tcW w:type="dxa" w:w="4139"/>
            <w:tcMar>
              <w:top w:w="80" w:type="dxa"/>
              <w:bottom w:w="80" w:type="dxa"/>
              <w:left w:w="80" w:type="dxa"/>
              <w:right w:w="80" w:type="dxa"/>
            </w:tcMar>
          </w:tcPr>
          <w:p>
            <w:pPr>
              <w:spacing w:before="80" w:after="80" w:line="276" w:lineRule="auto"/>
            </w:pPr>
            <w:r>
              <w:rPr>
                <w:rFonts w:ascii="楷体_GB2312" w:hAnsi="楷体_GB2312" w:eastAsia="楷体_GB2312"/>
                <w:b w:val="0"/>
                <w:sz w:val="24"/>
              </w:rPr>
              <w:t>联合签名、逐源SM3快照、聚合回执和审计检查点</w:t>
            </w:r>
          </w:p>
        </w:tc>
        <w:tc>
          <w:tcPr>
            <w:tcW w:type="dxa" w:w="3118"/>
            <w:tcMar>
              <w:top w:w="80" w:type="dxa"/>
              <w:bottom w:w="80" w:type="dxa"/>
              <w:left w:w="80" w:type="dxa"/>
              <w:right w:w="80" w:type="dxa"/>
            </w:tcMar>
          </w:tcPr>
          <w:p>
            <w:pPr>
              <w:spacing w:before="80" w:after="80" w:line="276" w:lineRule="auto"/>
            </w:pPr>
            <w:r>
              <w:rPr>
                <w:rFonts w:ascii="楷体_GB2312" w:hAnsi="楷体_GB2312" w:eastAsia="楷体_GB2312"/>
                <w:b w:val="0"/>
                <w:sz w:val="24"/>
              </w:rPr>
              <w:t>结果来源、快照与处理时段均有证据可查</w:t>
            </w:r>
          </w:p>
        </w:tc>
      </w:tr>
      <w:tr>
        <w:trPr>
          <w:cantSplit/>
        </w:trPr>
        <w:tc>
          <w:tcPr>
            <w:tcW w:type="dxa" w:w="2041"/>
            <w:tcMar>
              <w:top w:w="80" w:type="dxa"/>
              <w:bottom w:w="80" w:type="dxa"/>
              <w:left w:w="80" w:type="dxa"/>
              <w:right w:w="80" w:type="dxa"/>
            </w:tcMar>
          </w:tcPr>
          <w:p>
            <w:pPr>
              <w:spacing w:before="80" w:after="80" w:line="276" w:lineRule="auto"/>
            </w:pPr>
            <w:r>
              <w:rPr>
                <w:rFonts w:ascii="楷体_GB2312" w:hAnsi="楷体_GB2312" w:eastAsia="楷体_GB2312"/>
                <w:b w:val="0"/>
                <w:sz w:val="24"/>
              </w:rPr>
              <w:t>评估园区负荷响应</w:t>
            </w:r>
          </w:p>
        </w:tc>
        <w:tc>
          <w:tcPr>
            <w:tcW w:type="dxa" w:w="4139"/>
            <w:tcMar>
              <w:top w:w="80" w:type="dxa"/>
              <w:bottom w:w="80" w:type="dxa"/>
              <w:left w:w="80" w:type="dxa"/>
              <w:right w:w="80" w:type="dxa"/>
            </w:tcMar>
          </w:tcPr>
          <w:p>
            <w:pPr>
              <w:spacing w:before="80" w:after="80" w:line="276" w:lineRule="auto"/>
            </w:pPr>
            <w:r>
              <w:rPr>
                <w:rFonts w:ascii="楷体_GB2312" w:hAnsi="楷体_GB2312" w:eastAsia="楷体_GB2312"/>
                <w:b w:val="0"/>
                <w:sz w:val="24"/>
              </w:rPr>
              <w:t>三参考日与一事件日的16窗口密态计算</w:t>
            </w:r>
          </w:p>
        </w:tc>
        <w:tc>
          <w:tcPr>
            <w:tcW w:type="dxa" w:w="3118"/>
            <w:tcMar>
              <w:top w:w="80" w:type="dxa"/>
              <w:bottom w:w="80" w:type="dxa"/>
              <w:left w:w="80" w:type="dxa"/>
              <w:right w:w="80" w:type="dxa"/>
            </w:tcMar>
          </w:tcPr>
          <w:p>
            <w:pPr>
              <w:spacing w:before="80" w:after="80" w:line="276" w:lineRule="auto"/>
            </w:pPr>
            <w:r>
              <w:rPr>
                <w:rFonts w:ascii="楷体_GB2312" w:hAnsi="楷体_GB2312" w:eastAsia="楷体_GB2312"/>
                <w:b w:val="0"/>
                <w:sz w:val="24"/>
              </w:rPr>
              <w:t>将密态统计转化为四项可核验的响应指标</w:t>
            </w:r>
          </w:p>
        </w:tc>
      </w:tr>
      <w:tr>
        <w:trPr>
          <w:cantSplit/>
        </w:trPr>
        <w:tc>
          <w:tcPr>
            <w:tcW w:type="dxa" w:w="2041"/>
            <w:tcMar>
              <w:top w:w="80" w:type="dxa"/>
              <w:bottom w:w="80" w:type="dxa"/>
              <w:left w:w="80" w:type="dxa"/>
              <w:right w:w="80" w:type="dxa"/>
            </w:tcMar>
          </w:tcPr>
          <w:p>
            <w:pPr>
              <w:spacing w:before="80" w:after="80" w:line="276" w:lineRule="auto"/>
            </w:pPr>
            <w:r>
              <w:rPr>
                <w:rFonts w:ascii="楷体_GB2312" w:hAnsi="楷体_GB2312" w:eastAsia="楷体_GB2312"/>
                <w:b w:val="0"/>
                <w:sz w:val="24"/>
              </w:rPr>
              <w:t>持续维护密码应用</w:t>
            </w:r>
          </w:p>
        </w:tc>
        <w:tc>
          <w:tcPr>
            <w:tcW w:type="dxa" w:w="4139"/>
            <w:tcMar>
              <w:top w:w="80" w:type="dxa"/>
              <w:bottom w:w="80" w:type="dxa"/>
              <w:left w:w="80" w:type="dxa"/>
              <w:right w:w="80" w:type="dxa"/>
            </w:tcMar>
          </w:tcPr>
          <w:p>
            <w:pPr>
              <w:spacing w:before="80" w:after="80" w:line="276" w:lineRule="auto"/>
            </w:pPr>
            <w:r>
              <w:rPr>
                <w:rFonts w:ascii="楷体_GB2312" w:hAnsi="楷体_GB2312" w:eastAsia="楷体_GB2312"/>
                <w:b w:val="0"/>
                <w:sz w:val="24"/>
              </w:rPr>
              <w:t>软件托管、可信登记、密钥更新撤销、审批与恢复</w:t>
            </w:r>
          </w:p>
        </w:tc>
        <w:tc>
          <w:tcPr>
            <w:tcW w:type="dxa" w:w="3118"/>
            <w:tcMar>
              <w:top w:w="80" w:type="dxa"/>
              <w:bottom w:w="80" w:type="dxa"/>
              <w:left w:w="80" w:type="dxa"/>
              <w:right w:w="80" w:type="dxa"/>
            </w:tcMar>
          </w:tcPr>
          <w:p>
            <w:pPr>
              <w:spacing w:before="80" w:after="80" w:line="276" w:lineRule="auto"/>
            </w:pPr>
            <w:r>
              <w:rPr>
                <w:rFonts w:ascii="楷体_GB2312" w:hAnsi="楷体_GB2312" w:eastAsia="楷体_GB2312"/>
                <w:b w:val="0"/>
                <w:sz w:val="24"/>
              </w:rPr>
              <w:t>密钥更新、撤销及恢复有审批、有记录</w:t>
            </w:r>
          </w:p>
        </w:tc>
      </w:tr>
    </w:tbl>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同一套密码流程覆盖三类场景：居民统计按区域汇总负荷，园区协同连接多个数据源并评估响应，充电分析按设施类别观察高峰负荷。业务差异通过任务条件表达，授权、计算、发布和核验机制可以复用，为场景扩展提供统一基础。</w:t>
      </w:r>
    </w:p>
    <w:p w14:paraId="2734E110">
      <w:pPr>
        <w:pStyle w:val="3"/>
        <w:keepNext/>
        <w:spacing w:before="160" w:after="120" w:line="360" w:lineRule="auto"/>
        <w:rPr>
          <w:rFonts w:ascii="Times New Roman" w:hAnsi="Times New Roman" w:eastAsia="黑体" w:cs="Times New Roman"/>
          <w:sz w:val="28"/>
          <w:szCs w:val="28"/>
        </w:rPr>
      </w:pPr>
      <w:r>
        <w:rPr>
          <w:rFonts w:ascii="Times New Roman" w:hAnsi="Times New Roman" w:eastAsia="黑体" w:cs="Times New Roman"/>
          <w:sz w:val="28"/>
          <w:szCs w:val="28"/>
        </w:rPr>
        <w:t>1.4 真实运行与多规模验证</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八页工作台贯穿场景选择、数据观察、协同任务、密码能力和结果核验，使算法能力可以直接操作和展示。数据层包含七天UCI公开读数：370个用电点、672个十五分钟时段，共248640个读数，区域与资源类别采用模拟分组；合成负荷支持120至900个输入计量点，由1至3个同机独立Source进程处理，支持不同规模与多源配置的验证。</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发布保护完成20对正式同条件实验及6对预热，共52次成功REAL任务、832个独立核对窗口。300输入、150授权点主配置的保护组耗时中位数为84.90秒，10次正式任务均在180秒工程目标内完成；相对同条件密态对照，逐对发布保护增量中位数约0.12%。这些结果量化了发布控制的运行成本，比较对象、版本与样本口径见第3章。</w:t>
      </w:r>
    </w:p>
    <w:p w14:paraId="56B14FEB">
      <w:pPr>
        <w:pStyle w:val="2"/>
        <w:keepNext/>
        <w:spacing w:before="240" w:after="120" w:line="360" w:lineRule="auto"/>
        <w:rPr>
          <w:rFonts w:hint="eastAsia" w:ascii="华文楷体" w:hAnsi="华文楷体" w:eastAsia="华文楷体"/>
          <w:sz w:val="30"/>
          <w:szCs w:val="30"/>
        </w:rPr>
      </w:pPr>
      <w:r>
        <w:rPr>
          <w:rFonts w:hint="eastAsia" w:ascii="华文楷体" w:hAnsi="华文楷体" w:eastAsia="华文楷体"/>
          <w:sz w:val="30"/>
          <w:szCs w:val="30"/>
        </w:rPr>
        <w:t>2 设计与实现方案</w:t>
      </w:r>
    </w:p>
    <w:p w14:paraId="2734E110">
      <w:pPr>
        <w:pStyle w:val="3"/>
        <w:keepNext/>
        <w:spacing w:before="160" w:after="120" w:line="360" w:lineRule="auto"/>
        <w:rPr>
          <w:rFonts w:ascii="Times New Roman" w:hAnsi="Times New Roman" w:eastAsia="黑体" w:cs="Times New Roman"/>
          <w:sz w:val="28"/>
          <w:szCs w:val="28"/>
        </w:rPr>
      </w:pPr>
      <w:r>
        <w:rPr>
          <w:rFonts w:ascii="Times New Roman" w:hAnsi="Times New Roman" w:eastAsia="黑体" w:cs="Times New Roman"/>
          <w:sz w:val="28"/>
          <w:szCs w:val="28"/>
        </w:rPr>
        <w:t>2.1 角色分工与源侧读数保护</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平台通过角色分工组织数据协同：可信初始化中心TA生成参数并登记身份；Source持有各自的数据和密钥，独立加密上报；聚合网关GW核对身份与授权，在密文上筛选并聚合；统计端UC核验回执、恢复群体结果，执行发布检查并签署声明。原始读数与聚合处理分开承担，群体统计能力通过受控流程提供。</w:t>
      </w:r>
    </w:p>
    <w:p w14:paraId="32AAE786">
      <w:pPr>
        <w:keepNext/>
        <w:widowControl/>
        <w:adjustRightInd w:val="0"/>
        <w:snapToGrid w:val="0"/>
        <w:spacing w:line="240" w:lineRule="auto" w:after="80"/>
        <w:ind w:firstLine="0"/>
        <w:jc w:val="center"/>
        <w:rPr>
          <w:rFonts w:ascii="楷体_GB2312" w:hAnsi="Times New Roman" w:eastAsia="楷体_GB2312"/>
          <w:bCs/>
          <w:sz w:val="28"/>
          <w:szCs w:val="28"/>
        </w:rPr>
      </w:pPr>
      <w:r>
        <w:rPr>
          <w:rFonts w:hint="eastAsia" w:ascii="楷体_GB2312" w:hAnsi="Times New Roman" w:eastAsia="楷体_GB2312"/>
          <w:bCs/>
          <w:sz w:val="28"/>
          <w:szCs w:val="28"/>
        </w:rPr>
        <w:t/>
      </w:r>
      <w:r>
        <w:drawing>
          <wp:inline xmlns:a="http://schemas.openxmlformats.org/drawingml/2006/main" xmlns:pic="http://schemas.openxmlformats.org/drawingml/2006/picture">
            <wp:extent cx="5940000" cy="3036000"/>
            <wp:docPr id="3" name="Picture 3"/>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40000" cy="3036000"/>
                    </a:xfrm>
                    <a:prstGeom prst="rect"/>
                  </pic:spPr>
                </pic:pic>
              </a:graphicData>
            </a:graphic>
          </wp:inline>
        </w:drawing>
      </w:r>
    </w:p>
    <w:p w14:paraId="32AAE786">
      <w:pPr>
        <w:widowControl/>
        <w:adjustRightInd w:val="0"/>
        <w:snapToGrid w:val="0"/>
        <w:spacing w:line="480" w:lineRule="exact" w:after="80"/>
        <w:ind w:firstLine="0"/>
        <w:jc w:val="center"/>
        <w:rPr>
          <w:rFonts w:ascii="楷体_GB2312" w:hAnsi="Times New Roman" w:eastAsia="楷体_GB2312"/>
          <w:bCs/>
          <w:sz w:val="28"/>
          <w:szCs w:val="28"/>
        </w:rPr>
      </w:pPr>
      <w:r>
        <w:rPr>
          <w:rFonts w:hint="eastAsia" w:ascii="楷体_GB2312" w:hAnsi="Times New Roman" w:eastAsia="楷体_GB2312"/>
          <w:bCs/>
          <w:sz w:val="24"/>
          <w:szCs w:val="28"/>
        </w:rPr>
        <w:t>图1 源侧加密、网关聚合与统计端受控发布架构</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Windows与Ubuntu WSL上的本机实现，将Source、GW、UC运行在独立角色进程中，分别使用证书、私有目录和访问边界。Source到GW、GW到UC均执行实际TLS握手和业务传输，Web工作台组织任务并展示公开结果。角色分工因此落实到真实进程、文件访问和通信记录，能够逐环节核对。</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平台采用职责明确的角色模型：TA与UC可信，Source诚实，GW与UC不串谋；宿主账户和协调进程承担本机可信管理。网关获得授权区域、类别和时段等执行元数据，处理对象为密文。源侧读数保护、授权执行和结果使用各有明确责任，便于核对数据接触范围与任务行为。</w:t>
      </w:r>
    </w:p>
    <w:p w14:paraId="2734E110">
      <w:pPr>
        <w:pStyle w:val="3"/>
        <w:keepNext/>
        <w:spacing w:before="160" w:after="120" w:line="360" w:lineRule="auto"/>
        <w:rPr>
          <w:rFonts w:ascii="Times New Roman" w:hAnsi="Times New Roman" w:eastAsia="黑体" w:cs="Times New Roman"/>
          <w:sz w:val="28"/>
          <w:szCs w:val="28"/>
        </w:rPr>
      </w:pPr>
      <w:r>
        <w:rPr>
          <w:rFonts w:ascii="Times New Roman" w:hAnsi="Times New Roman" w:eastAsia="黑体" w:cs="Times New Roman"/>
          <w:sz w:val="28"/>
          <w:szCs w:val="28"/>
        </w:rPr>
        <w:t>2.2 PFDAM细粒度授权密态聚合</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团队自主PFDAM结合配对群运算与优化Paillier结构[5][6]，使网关能够按授权处理加密报告。Source将任务、窗口、指标、区域和资源类别写入标签上下文；UC生成本次授权令牌，GW执行配对联合检查，核对报告内容与授权关系，选择有效集合并在聚合时移除盲因子。统计范围由实际通过检查的报告集合确定，细粒度授权与密文计算直接衔接。</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令A表示通过授权及联合检查的报告集合，m表示整数功率读数。系统恢复A内读数的整数和，再由总和与签名回执绑定的有效报告数计算平均值。这使授权群体统计保持明确的数值含义，总和、平均值和报告数均可与独立预期核对。</w:t>
      </w:r>
    </w:p>
    <w:p w14:paraId="32AAE786">
      <w:pPr>
        <w:widowControl/>
        <w:adjustRightInd w:val="0"/>
        <w:snapToGrid w:val="0"/>
        <w:spacing w:line="480" w:lineRule="exact" w:after="80"/>
        <w:ind w:firstLine="0"/>
        <w:jc w:val="center"/>
        <w:rPr>
          <w:rFonts w:ascii="楷体_GB2312" w:hAnsi="Times New Roman" w:eastAsia="楷体_GB2312"/>
          <w:bCs/>
          <w:sz w:val="28"/>
          <w:szCs w:val="28"/>
        </w:rPr>
      </w:pPr>
      <w:r>
        <w:rPr>
          <w:rFonts w:hint="eastAsia" w:ascii="楷体_GB2312" w:hAnsi="Times New Roman" w:eastAsia="楷体_GB2312"/>
          <w:bCs/>
          <w:sz w:val="28"/>
          <w:szCs w:val="28"/>
        </w:rPr>
        <w:t/>
      </w:r>
      <m:oMathPara>
        <m:oMath>
          <m:r>
            <m:t>M = </m:t>
          </m:r>
          <m:nary>
            <m:naryPr>
              <m:chr m:val="∑"/>
              <m:limLoc m:val="subSup"/>
            </m:naryPr>
            <m:sub>
              <m:r>
                <m:t>i∈A</m:t>
              </m:r>
            </m:sub>
            <m:sup>
              <m:r>
                <m:t/>
              </m:r>
            </m:sup>
            <m:e>
              <m:sSub>
                <m:e>
                  <m:r>
                    <m:t>m</m:t>
                  </m:r>
                </m:e>
                <m:sub>
                  <m:r>
                    <m:t>i</m:t>
                  </m:r>
                </m:sub>
              </m:sSub>
            </m:e>
          </m:nary>
          <m:r>
            <m:t>， AVG(A) = </m:t>
          </m:r>
          <m:f>
            <m:num>
              <m:r>
                <m:t>M</m:t>
              </m:r>
            </m:num>
            <m:den>
              <m:r>
                <m:t>|A|</m:t>
              </m:r>
            </m:den>
          </m:f>
        </m:oMath>
      </m:oMathPara>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实现采用BLS12-381配对群、3072位模数和384位结构子素数，最大授权多项式次数为15。功率按整数W编码，单计量点单窗口上界为10的9次方W。恢复前检查指数与消息上界的乘积小于模数，恢复后核对整除关系及结果范围，将密码恢复条件与业务数值域一并检查，支撑整数统计的精确恢复。</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标签哈希与签名哈希使用对应群和独立用途域，群元素、密文、报告维度及非零求逆条件均设检查。重复报告、错误上下文和改动内容在相应环节处理，使正常计算与异常拒绝都有明确校验入口。每次加密独立生成密码随机量，固定数据种子仅用于合成负荷，便于复验相同输入下的实际密码运算。</w:t>
      </w:r>
    </w:p>
    <w:p w14:paraId="2734E110">
      <w:pPr>
        <w:pStyle w:val="3"/>
        <w:keepNext/>
        <w:spacing w:before="160" w:after="120" w:line="360" w:lineRule="auto"/>
        <w:rPr>
          <w:rFonts w:ascii="Times New Roman" w:hAnsi="Times New Roman" w:eastAsia="黑体" w:cs="Times New Roman"/>
          <w:sz w:val="28"/>
          <w:szCs w:val="28"/>
        </w:rPr>
      </w:pPr>
      <w:r>
        <w:rPr>
          <w:rFonts w:ascii="Times New Roman" w:hAnsi="Times New Roman" w:eastAsia="黑体" w:cs="Times New Roman"/>
          <w:sz w:val="28"/>
          <w:szCs w:val="28"/>
        </w:rPr>
        <w:t>2.3 授权绑定与任务一致性</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授权从申请检查延伸到业务对象绑定。服务端检查账户获准使用的区域、数据等级、类别、函数和算法配置；演示等级按场景规则设置，并与主体权限和密码配置联动。正式授权绑定任务与运行编号、参数、数据版本、窗口、Source清单、密钥版本、可信登记、有效期和一次性请求标识，使统计范围及使用条件随任务传递。私有输入用角色派生密钥生成HMAC标签，公开记录保留任务绑定及密文快照关联。</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工作台分别以PREVIEW、REAL和REPLAY标明预览、执行和回放，让配置确认、真实运算与历史核验各有入口。REAL执行实际群运算、签名和传输；幂等标识将相同内容的重复提交关联原运行，并拒绝冲突内容。原始数据、Source私钥、UC恢复秘密和实验预期集合分别受控保存，GW只读取角色所需材料，任务可复跑且数据分工清楚。</w:t>
      </w:r>
    </w:p>
    <w:p w14:paraId="2734E110">
      <w:pPr>
        <w:pStyle w:val="3"/>
        <w:keepNext/>
        <w:spacing w:before="160" w:after="120" w:line="360" w:lineRule="auto"/>
        <w:rPr>
          <w:rFonts w:ascii="Times New Roman" w:hAnsi="Times New Roman" w:eastAsia="黑体" w:cs="Times New Roman"/>
          <w:sz w:val="28"/>
          <w:szCs w:val="28"/>
        </w:rPr>
      </w:pPr>
      <w:r>
        <w:rPr>
          <w:rFonts w:ascii="Times New Roman" w:hAnsi="Times New Roman" w:eastAsia="黑体" w:cs="Times New Roman"/>
          <w:sz w:val="28"/>
          <w:szCs w:val="28"/>
        </w:rPr>
        <w:t>2.4 精确统计与统一受控发布</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作品将精确统计与发布约束结合，在保留计算值的同时管理公开范围。受限查询以预先登记、互不重叠的固定分组为发布单元，默认至少10个独立登记计量点，所选分组必须完整上报。UC依据正式参与记录检查归属、重复报告、完整性和共享历史；有效记录由计量点、时段及发布沿革共同标识，发布依据可以追溯。</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共享历史按数据族沿革维护，跨账户、任务和统计函数核对固定分组与数值版本，使重新命名、切换函数或重建普通运行目录仍遵守原发布范围。输入、统计端签名结果、发布决定和对外内容通过一次提交绑定，四个日期的16个窗口满足条件后整体发布，将单次查询规则延伸到完整业务评估。</w:t>
      </w:r>
    </w:p>
    <w:p w14:paraId="32AAE786">
      <w:pPr>
        <w:keepNext/>
        <w:widowControl/>
        <w:adjustRightInd w:val="0"/>
        <w:snapToGrid w:val="0"/>
        <w:spacing w:line="240" w:lineRule="auto" w:after="80"/>
        <w:ind w:firstLine="0"/>
        <w:jc w:val="center"/>
        <w:rPr>
          <w:rFonts w:ascii="楷体_GB2312" w:hAnsi="Times New Roman" w:eastAsia="楷体_GB2312"/>
          <w:bCs/>
          <w:sz w:val="28"/>
          <w:szCs w:val="28"/>
        </w:rPr>
      </w:pPr>
      <w:r>
        <w:rPr>
          <w:rFonts w:hint="eastAsia" w:ascii="楷体_GB2312" w:hAnsi="Times New Roman" w:eastAsia="楷体_GB2312"/>
          <w:bCs/>
          <w:sz w:val="28"/>
          <w:szCs w:val="28"/>
        </w:rPr>
        <w:t/>
      </w:r>
      <w:r>
        <w:drawing>
          <wp:inline xmlns:a="http://schemas.openxmlformats.org/drawingml/2006/main" xmlns:pic="http://schemas.openxmlformats.org/drawingml/2006/picture">
            <wp:extent cx="5940000" cy="3036000"/>
            <wp:docPr id="4" name="Picture 4"/>
            <wp:cNvGraphicFramePr>
              <a:graphicFrameLocks noChangeAspect="1"/>
            </wp:cNvGraphicFramePr>
            <a:graphic>
              <a:graphicData uri="http://schemas.openxmlformats.org/drawingml/2006/picture">
                <pic:pic>
                  <pic:nvPicPr>
                    <pic:cNvPr id="0" name="publication.png"/>
                    <pic:cNvPicPr/>
                  </pic:nvPicPr>
                  <pic:blipFill>
                    <a:blip r:embed="rId11"/>
                    <a:stretch>
                      <a:fillRect/>
                    </a:stretch>
                  </pic:blipFill>
                  <pic:spPr>
                    <a:xfrm>
                      <a:off x="0" y="0"/>
                      <a:ext cx="5940000" cy="3036000"/>
                    </a:xfrm>
                    <a:prstGeom prst="rect"/>
                  </pic:spPr>
                </pic:pic>
              </a:graphicData>
            </a:graphic>
          </wp:inline>
        </w:drawing>
      </w:r>
    </w:p>
    <w:p w14:paraId="32AAE786">
      <w:pPr>
        <w:widowControl/>
        <w:adjustRightInd w:val="0"/>
        <w:snapToGrid w:val="0"/>
        <w:spacing w:line="480" w:lineRule="exact" w:after="80"/>
        <w:ind w:firstLine="0"/>
        <w:jc w:val="center"/>
        <w:rPr>
          <w:rFonts w:ascii="楷体_GB2312" w:hAnsi="Times New Roman" w:eastAsia="楷体_GB2312"/>
          <w:bCs/>
          <w:sz w:val="28"/>
          <w:szCs w:val="28"/>
        </w:rPr>
      </w:pPr>
      <w:r>
        <w:rPr>
          <w:rFonts w:hint="eastAsia" w:ascii="楷体_GB2312" w:hAnsi="Times New Roman" w:eastAsia="楷体_GB2312"/>
          <w:bCs/>
          <w:sz w:val="24"/>
          <w:szCs w:val="28"/>
        </w:rPr>
        <w:t>图2 固定分组与共享历史约束的统计结果发布流程</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页面、任务接口、事件流、自检、评估与证据导出统一读取发布投影，即按发布决定生成的对外内容。已发布任务提供数值及证据，未发布任务提供决定与安全元数据；恢复按受保护根的提交状态还原结果，备份和正常恢复保留发布历史。统一出口与恢复规则，使发布约束贯穿结果提供和系统恢复。</w:t>
      </w:r>
    </w:p>
    <w:p w14:paraId="2734E110">
      <w:pPr>
        <w:pStyle w:val="3"/>
        <w:keepNext/>
        <w:spacing w:before="160" w:after="120" w:line="360" w:lineRule="auto"/>
        <w:rPr>
          <w:rFonts w:ascii="Times New Roman" w:hAnsi="Times New Roman" w:eastAsia="黑体" w:cs="Times New Roman"/>
          <w:sz w:val="28"/>
          <w:szCs w:val="28"/>
        </w:rPr>
      </w:pPr>
      <w:r>
        <w:rPr>
          <w:rFonts w:ascii="Times New Roman" w:hAnsi="Times New Roman" w:eastAsia="黑体" w:cs="Times New Roman"/>
          <w:sz w:val="28"/>
          <w:szCs w:val="28"/>
        </w:rPr>
        <w:t>2.5 联合签名与业务证据核验</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联合签名以共同受理规则保护正式业务：ECDSA P-256与ML-DSA-65必须同时有效，国密增强另要求SM2有效。规范JSON对象与严格字段模式绑定用途、任务、窗口、参数、密钥版本及接收上下文；ML-DSA采用用途上下文，ECDSA与SM2通过对象和业务域区分用途。每个必需签名均参与受理判断，多算法保护落实到具体业务对象。</w:t>
      </w:r>
    </w:p>
    <w:p w14:paraId="32AAE786">
      <w:pPr>
        <w:keepNext/>
        <w:widowControl/>
        <w:adjustRightInd w:val="0"/>
        <w:snapToGrid w:val="0"/>
        <w:spacing w:line="240" w:lineRule="auto" w:after="80"/>
        <w:ind w:firstLine="0"/>
        <w:jc w:val="center"/>
        <w:rPr>
          <w:rFonts w:ascii="楷体_GB2312" w:hAnsi="Times New Roman" w:eastAsia="楷体_GB2312"/>
          <w:bCs/>
          <w:sz w:val="28"/>
          <w:szCs w:val="28"/>
        </w:rPr>
      </w:pPr>
      <w:r>
        <w:rPr>
          <w:rFonts w:hint="eastAsia" w:ascii="楷体_GB2312" w:hAnsi="Times New Roman" w:eastAsia="楷体_GB2312"/>
          <w:bCs/>
          <w:sz w:val="28"/>
          <w:szCs w:val="28"/>
        </w:rPr>
        <w:t/>
      </w:r>
      <w:r>
        <w:drawing>
          <wp:inline xmlns:a="http://schemas.openxmlformats.org/drawingml/2006/main" xmlns:pic="http://schemas.openxmlformats.org/drawingml/2006/picture">
            <wp:extent cx="5940000" cy="3036000"/>
            <wp:docPr id="5" name="Picture 5"/>
            <wp:cNvGraphicFramePr>
              <a:graphicFrameLocks noChangeAspect="1"/>
            </wp:cNvGraphicFramePr>
            <a:graphic>
              <a:graphicData uri="http://schemas.openxmlformats.org/drawingml/2006/picture">
                <pic:pic>
                  <pic:nvPicPr>
                    <pic:cNvPr id="0" name="evidence.png"/>
                    <pic:cNvPicPr/>
                  </pic:nvPicPr>
                  <pic:blipFill>
                    <a:blip r:embed="rId12"/>
                    <a:stretch>
                      <a:fillRect/>
                    </a:stretch>
                  </pic:blipFill>
                  <pic:spPr>
                    <a:xfrm>
                      <a:off x="0" y="0"/>
                      <a:ext cx="5940000" cy="3036000"/>
                    </a:xfrm>
                    <a:prstGeom prst="rect"/>
                  </pic:spPr>
                </pic:pic>
              </a:graphicData>
            </a:graphic>
          </wp:inline>
        </w:drawing>
      </w:r>
    </w:p>
    <w:p w14:paraId="32AAE786">
      <w:pPr>
        <w:widowControl/>
        <w:adjustRightInd w:val="0"/>
        <w:snapToGrid w:val="0"/>
        <w:spacing w:line="480" w:lineRule="exact" w:after="80"/>
        <w:ind w:firstLine="0"/>
        <w:jc w:val="center"/>
        <w:rPr>
          <w:rFonts w:ascii="楷体_GB2312" w:hAnsi="Times New Roman" w:eastAsia="楷体_GB2312"/>
          <w:bCs/>
          <w:sz w:val="28"/>
          <w:szCs w:val="28"/>
        </w:rPr>
      </w:pPr>
      <w:r>
        <w:rPr>
          <w:rFonts w:hint="eastAsia" w:ascii="楷体_GB2312" w:hAnsi="Times New Roman" w:eastAsia="楷体_GB2312"/>
          <w:bCs/>
          <w:sz w:val="24"/>
          <w:szCs w:val="28"/>
        </w:rPr>
        <w:t>图3 授权、快照、回执、统计结果与发布决定的签名关联</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各Source生成SM3 Merkle密文快照，GW核对后在回执中绑定聚合密文、计数、窗口与审计检查点；UC签署结果声明，发布决定继续绑定任务和受保护历史。评审使用公开证据、归档外可信登记及指定任务信息，即可核验来源、内容与处理关联，复算已发布业务指标，无需接触逐户读数。统计值另以独立集合和整数和实验核对，形成对象认证、数值验证与业务复算各有依据的证据体系。</w:t>
      </w:r>
    </w:p>
    <w:p w14:paraId="2734E110">
      <w:pPr>
        <w:pStyle w:val="3"/>
        <w:keepNext/>
        <w:spacing w:before="160" w:after="120" w:line="360" w:lineRule="auto"/>
        <w:rPr>
          <w:rFonts w:ascii="Times New Roman" w:hAnsi="Times New Roman" w:eastAsia="黑体" w:cs="Times New Roman"/>
          <w:sz w:val="28"/>
          <w:szCs w:val="28"/>
        </w:rPr>
      </w:pPr>
      <w:r>
        <w:rPr>
          <w:rFonts w:ascii="Times New Roman" w:hAnsi="Times New Roman" w:eastAsia="黑体" w:cs="Times New Roman"/>
          <w:sz w:val="28"/>
          <w:szCs w:val="28"/>
        </w:rPr>
        <w:t>2.6 混合密码保护与密钥管理</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分层密码保护同时覆盖计算、业务对象与通信。PFDAM承担密态计算，联合签名认证业务对象；Source到GW、GW到UC均使用TLS1.3双向证书认证，实际协商并检查X25519MLKEM768混合密钥建立，增强配置在TLS内以SM4-GCM保护业务帧。每条连接记录两端身份、实际算法与请求，各层职责和执行证据能够对应核验[7][8]。</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密钥管理为密码能力提供持续运行的操作基础。独立软件托管根保护私钥与私有JSON，可信登记支持多个密钥版本，TLS身份与业务签名分开管理。更新、撤销及恢复在任务边界执行，申请、审批和审计记录管理过程；程序指纹与受保护审计锚分别记录已批准代码和管理行为，使密钥状态及关键操作可查。</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标准对齐落实为可执行的本机功能检查：算法例子与身份、授权、密钥、链路、快照、审计控制均关联实际任务。检查依据包括GB/T 39786-2021相关应用主题，以及SM2、SM3、SM4和密钥派生的选定向量[9]。标准条目、软件功能和任务证据相互对应，便于复核密码技术在业务中的实际使用。</w:t>
      </w:r>
    </w:p>
    <w:p w14:paraId="2734E110">
      <w:pPr>
        <w:pStyle w:val="3"/>
        <w:keepNext/>
        <w:spacing w:before="160" w:after="120" w:line="360" w:lineRule="auto"/>
        <w:rPr>
          <w:rFonts w:ascii="Times New Roman" w:hAnsi="Times New Roman" w:eastAsia="黑体" w:cs="Times New Roman"/>
          <w:sz w:val="28"/>
          <w:szCs w:val="28"/>
        </w:rPr>
      </w:pPr>
      <w:r>
        <w:rPr>
          <w:rFonts w:ascii="Times New Roman" w:hAnsi="Times New Roman" w:eastAsia="黑体" w:cs="Times New Roman"/>
          <w:sz w:val="28"/>
          <w:szCs w:val="28"/>
        </w:rPr>
        <w:t>2.7 密态计算支撑需求响应评估</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园区需求响应将密态统计转化为业务可用的负荷比较。对同一组计量点，取三个历史工作日和一个事件日，每日计算17时至18时的四个十五分钟窗口。四日分别完成密态聚合与统计端签名，评估层从16份签名输入计算三日参考负荷及事件差值，指标可以追溯到实际统计窗口。P表示群体功率，单位为kW。</w:t>
      </w:r>
    </w:p>
    <w:p w14:paraId="32AAE786">
      <w:pPr>
        <w:widowControl/>
        <w:adjustRightInd w:val="0"/>
        <w:snapToGrid w:val="0"/>
        <w:spacing w:line="480" w:lineRule="exact" w:after="80"/>
        <w:ind w:firstLine="0"/>
        <w:jc w:val="center"/>
        <w:rPr>
          <w:rFonts w:ascii="楷体_GB2312" w:hAnsi="Times New Roman" w:eastAsia="楷体_GB2312"/>
          <w:bCs/>
          <w:sz w:val="28"/>
          <w:szCs w:val="28"/>
        </w:rPr>
      </w:pPr>
      <w:r>
        <w:rPr>
          <w:rFonts w:hint="eastAsia" w:ascii="楷体_GB2312" w:hAnsi="Times New Roman" w:eastAsia="楷体_GB2312"/>
          <w:bCs/>
          <w:sz w:val="28"/>
          <w:szCs w:val="28"/>
        </w:rPr>
        <w:t/>
      </w:r>
      <m:oMathPara>
        <m:oMath>
          <m:sSub>
            <m:e>
              <m:r>
                <m:t>B</m:t>
              </m:r>
            </m:e>
            <m:sub>
              <m:r>
                <m:t>t</m:t>
              </m:r>
            </m:sub>
          </m:sSub>
          <m:r>
            <m:t> = </m:t>
          </m:r>
          <m:f>
            <m:num>
              <m:sSub>
                <m:e>
                  <m:r>
                    <m:t>P</m:t>
                  </m:r>
                </m:e>
                <m:sub>
                  <m:r>
                    <m:t>d1,t</m:t>
                  </m:r>
                </m:sub>
              </m:sSub>
              <m:r>
                <m:t>+</m:t>
              </m:r>
              <m:sSub>
                <m:e>
                  <m:r>
                    <m:t>P</m:t>
                  </m:r>
                </m:e>
                <m:sub>
                  <m:r>
                    <m:t>d2,t</m:t>
                  </m:r>
                </m:sub>
              </m:sSub>
              <m:r>
                <m:t>+</m:t>
              </m:r>
              <m:sSub>
                <m:e>
                  <m:r>
                    <m:t>P</m:t>
                  </m:r>
                </m:e>
                <m:sub>
                  <m:r>
                    <m:t>d3,t</m:t>
                  </m:r>
                </m:sub>
              </m:sSub>
            </m:num>
            <m:den>
              <m:r>
                <m:t>3</m:t>
              </m:r>
            </m:den>
          </m:f>
        </m:oMath>
      </m:oMathPara>
    </w:p>
    <w:p w14:paraId="32AAE786">
      <w:pPr>
        <w:widowControl/>
        <w:adjustRightInd w:val="0"/>
        <w:snapToGrid w:val="0"/>
        <w:spacing w:line="480" w:lineRule="exact" w:after="80"/>
        <w:ind w:firstLine="0"/>
        <w:jc w:val="center"/>
        <w:rPr>
          <w:rFonts w:ascii="楷体_GB2312" w:hAnsi="Times New Roman" w:eastAsia="楷体_GB2312"/>
          <w:bCs/>
          <w:sz w:val="28"/>
          <w:szCs w:val="28"/>
        </w:rPr>
      </w:pPr>
      <w:r>
        <w:rPr>
          <w:rFonts w:hint="eastAsia" w:ascii="楷体_GB2312" w:hAnsi="Times New Roman" w:eastAsia="楷体_GB2312"/>
          <w:bCs/>
          <w:sz w:val="28"/>
          <w:szCs w:val="28"/>
        </w:rPr>
        <w:t/>
      </w:r>
      <m:oMathPara>
        <m:oMath>
          <m:sSub>
            <m:e>
              <m:r>
                <m:t>ΔP</m:t>
              </m:r>
            </m:e>
            <m:sub>
              <m:r>
                <m:t>mean</m:t>
              </m:r>
            </m:sub>
          </m:sSub>
          <m:r>
            <m:t> = </m:t>
          </m:r>
          <m:f>
            <m:num>
              <m:r>
                <m:t>1</m:t>
              </m:r>
            </m:num>
            <m:den>
              <m:r>
                <m:t>4</m:t>
              </m:r>
            </m:den>
          </m:f>
          <m:nary>
            <m:naryPr>
              <m:chr m:val="∑"/>
              <m:limLoc m:val="subSup"/>
            </m:naryPr>
            <m:sub>
              <m:r>
                <m:t>t=1</m:t>
              </m:r>
            </m:sub>
            <m:sup>
              <m:r>
                <m:t>4</m:t>
              </m:r>
            </m:sup>
            <m:e>
              <m:r>
                <m:t>(</m:t>
              </m:r>
              <m:sSub>
                <m:e>
                  <m:r>
                    <m:t>B</m:t>
                  </m:r>
                </m:e>
                <m:sub>
                  <m:r>
                    <m:t>t</m:t>
                  </m:r>
                </m:sub>
              </m:sSub>
              <m:r>
                <m:t> − </m:t>
              </m:r>
              <m:sSub>
                <m:e>
                  <m:r>
                    <m:t>P</m:t>
                  </m:r>
                </m:e>
                <m:sub>
                  <m:r>
                    <m:t>e,t</m:t>
                  </m:r>
                </m:sub>
              </m:sSub>
              <m:r>
                <m:t>)</m:t>
              </m:r>
            </m:e>
          </m:nary>
        </m:oMath>
      </m:oMathPara>
    </w:p>
    <w:p w14:paraId="32AAE786">
      <w:pPr>
        <w:widowControl/>
        <w:adjustRightInd w:val="0"/>
        <w:snapToGrid w:val="0"/>
        <w:spacing w:line="480" w:lineRule="exact" w:after="80"/>
        <w:ind w:firstLine="0"/>
        <w:jc w:val="center"/>
        <w:rPr>
          <w:rFonts w:ascii="楷体_GB2312" w:hAnsi="Times New Roman" w:eastAsia="楷体_GB2312"/>
          <w:bCs/>
          <w:sz w:val="28"/>
          <w:szCs w:val="28"/>
        </w:rPr>
      </w:pPr>
      <w:r>
        <w:rPr>
          <w:rFonts w:hint="eastAsia" w:ascii="楷体_GB2312" w:hAnsi="Times New Roman" w:eastAsia="楷体_GB2312"/>
          <w:bCs/>
          <w:sz w:val="28"/>
          <w:szCs w:val="28"/>
        </w:rPr>
        <w:t/>
      </w:r>
      <m:oMathPara>
        <m:oMath>
          <m:r>
            <m:t>ΔE = </m:t>
          </m:r>
          <m:nary>
            <m:naryPr>
              <m:chr m:val="∑"/>
              <m:limLoc m:val="subSup"/>
            </m:naryPr>
            <m:sub>
              <m:r>
                <m:t>t=1</m:t>
              </m:r>
            </m:sub>
            <m:sup>
              <m:r>
                <m:t>4</m:t>
              </m:r>
            </m:sup>
            <m:e>
              <m:r>
                <m:t>(</m:t>
              </m:r>
              <m:sSub>
                <m:e>
                  <m:r>
                    <m:t>B</m:t>
                  </m:r>
                </m:e>
                <m:sub>
                  <m:r>
                    <m:t>t</m:t>
                  </m:r>
                </m:sub>
              </m:sSub>
              <m:r>
                <m:t> − </m:t>
              </m:r>
              <m:sSub>
                <m:e>
                  <m:r>
                    <m:t>P</m:t>
                  </m:r>
                </m:e>
                <m:sub>
                  <m:r>
                    <m:t>e,t</m:t>
                  </m:r>
                </m:sub>
              </m:sSub>
              <m:r>
                <m:t>)</m:t>
              </m:r>
            </m:e>
          </m:nary>
          <m:r>
            <m:t> × 0.25 h</m:t>
          </m:r>
        </m:oMath>
      </m:oMathPara>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四项指标分别回答负荷降低多少、相对参考变化多大、窗口内能量相差多少、参与数据是否覆盖完整。平均降负荷取四时段差值均值，相对变化取总功率差与参考总功率之比，窗口能量差对十五分钟功率差积分，覆盖率核对满足规则的登记点。公式使用精确分子和分母，最后换算显示单位，使业务解释与数值复算一致。</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合成场景预设10%响应，用于核对三日参考方法、事件日变化与评估结果的关系；UCI公开读数配合模拟园区分组，支持历史负荷对比。指标同时展示数据来源、模拟条件、获准计量点数和发布状态，使一次评估同时具备业务含义和可查的计算条件。</w:t>
      </w:r>
    </w:p>
    <w:p w14:paraId="56B14FEB">
      <w:pPr>
        <w:pStyle w:val="2"/>
        <w:keepNext/>
        <w:spacing w:before="240" w:after="120" w:line="360" w:lineRule="auto"/>
        <w:rPr>
          <w:rFonts w:hint="eastAsia" w:ascii="华文楷体" w:hAnsi="华文楷体" w:eastAsia="华文楷体"/>
          <w:sz w:val="30"/>
          <w:szCs w:val="30"/>
        </w:rPr>
      </w:pPr>
      <w:r>
        <w:rPr>
          <w:rFonts w:hint="eastAsia" w:ascii="华文楷体" w:hAnsi="华文楷体" w:eastAsia="华文楷体"/>
          <w:sz w:val="30"/>
          <w:szCs w:val="30"/>
        </w:rPr>
        <w:t>3 系统测试与结果</w:t>
      </w:r>
    </w:p>
    <w:p w14:paraId="2734E110">
      <w:pPr>
        <w:pStyle w:val="3"/>
        <w:keepNext/>
        <w:spacing w:before="160" w:after="120" w:line="360" w:lineRule="auto"/>
        <w:rPr>
          <w:rFonts w:ascii="Times New Roman" w:hAnsi="Times New Roman" w:eastAsia="黑体" w:cs="Times New Roman"/>
          <w:sz w:val="28"/>
          <w:szCs w:val="28"/>
        </w:rPr>
      </w:pPr>
      <w:r>
        <w:rPr>
          <w:rFonts w:ascii="Times New Roman" w:hAnsi="Times New Roman" w:eastAsia="黑体" w:cs="Times New Roman"/>
          <w:sz w:val="28"/>
          <w:szCs w:val="28"/>
        </w:rPr>
        <w:t>3.1 独立核对方法与实测环境</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验证围绕结果正确、规则执行和业务可复算展开，覆盖功能、异常输入、角色与密钥、发布规则、业务指标、性能和界面七类内容。独立逻辑确定预期参与集合并从测试输入累加整数和，再分别对照GW选择与UC恢复结果。业务指标从签名输入精确复算，参照日前置选择、事件注入真值和基线估计分别记录，使每类结果都有独立核对依据。</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验证运行于Windows与Ubuntu WSL x86_64，使用Python 3.14.4、OpenSSL 3.5.5和mcl v3.08，各角色以独立进程、证书和目录运行，采用Linux Landlock限定访问。四个日期、三个Source的实例建立16条实际业务连接，记录32份端点观察。签名、混合通信及SM增强均在真实业务路径执行，实测结果对应实际密码运算与传输。</w:t>
      </w:r>
    </w:p>
    <w:p w14:paraId="2734E110">
      <w:pPr>
        <w:pStyle w:val="3"/>
        <w:keepNext/>
        <w:spacing w:before="160" w:after="120" w:line="360" w:lineRule="auto"/>
        <w:rPr>
          <w:rFonts w:ascii="Times New Roman" w:hAnsi="Times New Roman" w:eastAsia="黑体" w:cs="Times New Roman"/>
          <w:sz w:val="28"/>
          <w:szCs w:val="28"/>
        </w:rPr>
      </w:pPr>
      <w:r>
        <w:rPr>
          <w:rFonts w:ascii="Times New Roman" w:hAnsi="Times New Roman" w:eastAsia="黑体" w:cs="Times New Roman"/>
          <w:sz w:val="28"/>
          <w:szCs w:val="28"/>
        </w:rPr>
        <w:t>3.2 正确性与密码应用验证</w:t>
      </w:r>
    </w:p>
    <w:tbl>
      <w:tblPr>
        <w:tblW w:type="auto" w:w="0"/>
        <w:tblLayout w:type="fixed"/>
        <w:tblLook w:firstColumn="1" w:firstRow="1" w:lastColumn="0" w:lastRow="0" w:noHBand="0" w:noVBand="1" w:val="04A0"/>
        <w:tblBorders>
          <w:top w:val="single" w:sz="4" w:color="BFC9D0"/>
          <w:bottom w:val="single" w:sz="4" w:color="BFC9D0"/>
          <w:left w:val="single" w:sz="4" w:color="BFC9D0"/>
          <w:right w:val="single" w:sz="4" w:color="BFC9D0"/>
          <w:insideH w:val="single" w:sz="4" w:color="BFC9D0"/>
          <w:insideV w:val="single" w:sz="4" w:color="BFC9D0"/>
        </w:tblBorders>
      </w:tblPr>
      <w:tblGrid>
        <w:gridCol w:w="2041"/>
        <w:gridCol w:w="4139"/>
        <w:gridCol w:w="3118"/>
      </w:tblGrid>
      <w:tr>
        <w:trPr>
          <w:cantSplit/>
          <w:tblHeader/>
        </w:trPr>
        <w:tc>
          <w:tcPr>
            <w:tcW w:type="dxa" w:w="2041"/>
            <w:tcMar>
              <w:top w:w="80" w:type="dxa"/>
              <w:bottom w:w="80" w:type="dxa"/>
              <w:left w:w="80" w:type="dxa"/>
              <w:right w:w="80" w:type="dxa"/>
            </w:tcMar>
          </w:tcPr>
          <w:p>
            <w:pPr>
              <w:spacing w:before="80" w:after="80" w:line="276" w:lineRule="auto"/>
            </w:pPr>
            <w:r>
              <w:rPr>
                <w:rFonts w:ascii="楷体_GB2312" w:hAnsi="楷体_GB2312" w:eastAsia="楷体_GB2312"/>
                <w:b/>
                <w:sz w:val="24"/>
              </w:rPr>
              <w:t>验证对象</w:t>
            </w:r>
          </w:p>
        </w:tc>
        <w:tc>
          <w:tcPr>
            <w:tcW w:type="dxa" w:w="4139"/>
            <w:tcMar>
              <w:top w:w="80" w:type="dxa"/>
              <w:bottom w:w="80" w:type="dxa"/>
              <w:left w:w="80" w:type="dxa"/>
              <w:right w:w="80" w:type="dxa"/>
            </w:tcMar>
          </w:tcPr>
          <w:p>
            <w:pPr>
              <w:spacing w:before="80" w:after="80" w:line="276" w:lineRule="auto"/>
            </w:pPr>
            <w:r>
              <w:rPr>
                <w:rFonts w:ascii="楷体_GB2312" w:hAnsi="楷体_GB2312" w:eastAsia="楷体_GB2312"/>
                <w:b/>
                <w:sz w:val="24"/>
              </w:rPr>
              <w:t>主要检查</w:t>
            </w:r>
          </w:p>
        </w:tc>
        <w:tc>
          <w:tcPr>
            <w:tcW w:type="dxa" w:w="3118"/>
            <w:tcMar>
              <w:top w:w="80" w:type="dxa"/>
              <w:bottom w:w="80" w:type="dxa"/>
              <w:left w:w="80" w:type="dxa"/>
              <w:right w:w="80" w:type="dxa"/>
            </w:tcMar>
          </w:tcPr>
          <w:p>
            <w:pPr>
              <w:spacing w:before="80" w:after="80" w:line="276" w:lineRule="auto"/>
            </w:pPr>
            <w:r>
              <w:rPr>
                <w:rFonts w:ascii="楷体_GB2312" w:hAnsi="楷体_GB2312" w:eastAsia="楷体_GB2312"/>
                <w:b/>
                <w:sz w:val="24"/>
              </w:rPr>
              <w:t>已有结果</w:t>
            </w:r>
          </w:p>
        </w:tc>
      </w:tr>
      <w:tr>
        <w:trPr>
          <w:cantSplit/>
        </w:trPr>
        <w:tc>
          <w:tcPr>
            <w:tcW w:type="dxa" w:w="2041"/>
            <w:tcMar>
              <w:top w:w="80" w:type="dxa"/>
              <w:bottom w:w="80" w:type="dxa"/>
              <w:left w:w="80" w:type="dxa"/>
              <w:right w:w="80" w:type="dxa"/>
            </w:tcMar>
          </w:tcPr>
          <w:p>
            <w:pPr>
              <w:spacing w:before="80" w:after="80" w:line="276" w:lineRule="auto"/>
            </w:pPr>
            <w:r>
              <w:rPr>
                <w:rFonts w:ascii="楷体_GB2312" w:hAnsi="楷体_GB2312" w:eastAsia="楷体_GB2312"/>
                <w:b w:val="0"/>
                <w:sz w:val="24"/>
              </w:rPr>
              <w:t>密态计算</w:t>
            </w:r>
          </w:p>
        </w:tc>
        <w:tc>
          <w:tcPr>
            <w:tcW w:type="dxa" w:w="4139"/>
            <w:tcMar>
              <w:top w:w="80" w:type="dxa"/>
              <w:bottom w:w="80" w:type="dxa"/>
              <w:left w:w="80" w:type="dxa"/>
              <w:right w:w="80" w:type="dxa"/>
            </w:tcMar>
          </w:tcPr>
          <w:p>
            <w:pPr>
              <w:spacing w:before="80" w:after="80" w:line="276" w:lineRule="auto"/>
            </w:pPr>
            <w:r>
              <w:rPr>
                <w:rFonts w:ascii="楷体_GB2312" w:hAnsi="楷体_GB2312" w:eastAsia="楷体_GB2312"/>
                <w:b w:val="0"/>
                <w:sz w:val="24"/>
              </w:rPr>
              <w:t>授权集合与整数和独立核对、合法零值、范围边界</w:t>
            </w:r>
          </w:p>
        </w:tc>
        <w:tc>
          <w:tcPr>
            <w:tcW w:type="dxa" w:w="3118"/>
            <w:tcMar>
              <w:top w:w="80" w:type="dxa"/>
              <w:bottom w:w="80" w:type="dxa"/>
              <w:left w:w="80" w:type="dxa"/>
              <w:right w:w="80" w:type="dxa"/>
            </w:tcMar>
          </w:tcPr>
          <w:p>
            <w:pPr>
              <w:spacing w:before="80" w:after="80" w:line="276" w:lineRule="auto"/>
            </w:pPr>
            <w:r>
              <w:rPr>
                <w:rFonts w:ascii="楷体_GB2312" w:hAnsi="楷体_GB2312" w:eastAsia="楷体_GB2312"/>
                <w:b w:val="0"/>
                <w:sz w:val="24"/>
              </w:rPr>
              <w:t>正常及边界结果与独立预期一致</w:t>
            </w:r>
          </w:p>
        </w:tc>
      </w:tr>
      <w:tr>
        <w:trPr>
          <w:cantSplit/>
        </w:trPr>
        <w:tc>
          <w:tcPr>
            <w:tcW w:type="dxa" w:w="2041"/>
            <w:tcMar>
              <w:top w:w="80" w:type="dxa"/>
              <w:bottom w:w="80" w:type="dxa"/>
              <w:left w:w="80" w:type="dxa"/>
              <w:right w:w="80" w:type="dxa"/>
            </w:tcMar>
          </w:tcPr>
          <w:p>
            <w:pPr>
              <w:spacing w:before="80" w:after="80" w:line="276" w:lineRule="auto"/>
            </w:pPr>
            <w:r>
              <w:rPr>
                <w:rFonts w:ascii="楷体_GB2312" w:hAnsi="楷体_GB2312" w:eastAsia="楷体_GB2312"/>
                <w:b w:val="0"/>
                <w:sz w:val="24"/>
              </w:rPr>
              <w:t>授权与签名</w:t>
            </w:r>
          </w:p>
        </w:tc>
        <w:tc>
          <w:tcPr>
            <w:tcW w:type="dxa" w:w="4139"/>
            <w:tcMar>
              <w:top w:w="80" w:type="dxa"/>
              <w:bottom w:w="80" w:type="dxa"/>
              <w:left w:w="80" w:type="dxa"/>
              <w:right w:w="80" w:type="dxa"/>
            </w:tcMar>
          </w:tcPr>
          <w:p>
            <w:pPr>
              <w:spacing w:before="80" w:after="80" w:line="276" w:lineRule="auto"/>
            </w:pPr>
            <w:r>
              <w:rPr>
                <w:rFonts w:ascii="楷体_GB2312" w:hAnsi="楷体_GB2312" w:eastAsia="楷体_GB2312"/>
                <w:b w:val="0"/>
                <w:sz w:val="24"/>
              </w:rPr>
              <w:t>跨区、越级、错误函数、过期、重放、缺失或改动必需签名</w:t>
            </w:r>
          </w:p>
        </w:tc>
        <w:tc>
          <w:tcPr>
            <w:tcW w:type="dxa" w:w="3118"/>
            <w:tcMar>
              <w:top w:w="80" w:type="dxa"/>
              <w:bottom w:w="80" w:type="dxa"/>
              <w:left w:w="80" w:type="dxa"/>
              <w:right w:w="80" w:type="dxa"/>
            </w:tcMar>
          </w:tcPr>
          <w:p>
            <w:pPr>
              <w:spacing w:before="80" w:after="80" w:line="276" w:lineRule="auto"/>
            </w:pPr>
            <w:r>
              <w:rPr>
                <w:rFonts w:ascii="楷体_GB2312" w:hAnsi="楷体_GB2312" w:eastAsia="楷体_GB2312"/>
                <w:b w:val="0"/>
                <w:sz w:val="24"/>
              </w:rPr>
              <w:t>对应请求在实际校验层被拒绝</w:t>
            </w:r>
          </w:p>
        </w:tc>
      </w:tr>
      <w:tr>
        <w:trPr>
          <w:cantSplit/>
        </w:trPr>
        <w:tc>
          <w:tcPr>
            <w:tcW w:type="dxa" w:w="2041"/>
            <w:tcMar>
              <w:top w:w="80" w:type="dxa"/>
              <w:bottom w:w="80" w:type="dxa"/>
              <w:left w:w="80" w:type="dxa"/>
              <w:right w:w="80" w:type="dxa"/>
            </w:tcMar>
          </w:tcPr>
          <w:p>
            <w:pPr>
              <w:spacing w:before="80" w:after="80" w:line="276" w:lineRule="auto"/>
            </w:pPr>
            <w:r>
              <w:rPr>
                <w:rFonts w:ascii="楷体_GB2312" w:hAnsi="楷体_GB2312" w:eastAsia="楷体_GB2312"/>
                <w:b w:val="0"/>
                <w:sz w:val="24"/>
              </w:rPr>
              <w:t>来源与证据</w:t>
            </w:r>
          </w:p>
        </w:tc>
        <w:tc>
          <w:tcPr>
            <w:tcW w:type="dxa" w:w="4139"/>
            <w:tcMar>
              <w:top w:w="80" w:type="dxa"/>
              <w:bottom w:w="80" w:type="dxa"/>
              <w:left w:w="80" w:type="dxa"/>
              <w:right w:w="80" w:type="dxa"/>
            </w:tcMar>
          </w:tcPr>
          <w:p>
            <w:pPr>
              <w:spacing w:before="80" w:after="80" w:line="276" w:lineRule="auto"/>
            </w:pPr>
            <w:r>
              <w:rPr>
                <w:rFonts w:ascii="楷体_GB2312" w:hAnsi="楷体_GB2312" w:eastAsia="楷体_GB2312"/>
                <w:b w:val="0"/>
                <w:sz w:val="24"/>
              </w:rPr>
              <w:t>Source证书、分片绑定、逐源快照、回执与结果声明关联</w:t>
            </w:r>
          </w:p>
        </w:tc>
        <w:tc>
          <w:tcPr>
            <w:tcW w:type="dxa" w:w="3118"/>
            <w:tcMar>
              <w:top w:w="80" w:type="dxa"/>
              <w:bottom w:w="80" w:type="dxa"/>
              <w:left w:w="80" w:type="dxa"/>
              <w:right w:w="80" w:type="dxa"/>
            </w:tcMar>
          </w:tcPr>
          <w:p>
            <w:pPr>
              <w:spacing w:before="80" w:after="80" w:line="276" w:lineRule="auto"/>
            </w:pPr>
            <w:r>
              <w:rPr>
                <w:rFonts w:ascii="楷体_GB2312" w:hAnsi="楷体_GB2312" w:eastAsia="楷体_GB2312"/>
                <w:b w:val="0"/>
                <w:sz w:val="24"/>
              </w:rPr>
              <w:t>正常核验通过，改动和删除被检测</w:t>
            </w:r>
          </w:p>
        </w:tc>
      </w:tr>
      <w:tr>
        <w:trPr>
          <w:cantSplit/>
        </w:trPr>
        <w:tc>
          <w:tcPr>
            <w:tcW w:type="dxa" w:w="2041"/>
            <w:tcMar>
              <w:top w:w="80" w:type="dxa"/>
              <w:bottom w:w="80" w:type="dxa"/>
              <w:left w:w="80" w:type="dxa"/>
              <w:right w:w="80" w:type="dxa"/>
            </w:tcMar>
          </w:tcPr>
          <w:p>
            <w:pPr>
              <w:spacing w:before="80" w:after="80" w:line="276" w:lineRule="auto"/>
            </w:pPr>
            <w:r>
              <w:rPr>
                <w:rFonts w:ascii="楷体_GB2312" w:hAnsi="楷体_GB2312" w:eastAsia="楷体_GB2312"/>
                <w:b w:val="0"/>
                <w:sz w:val="24"/>
              </w:rPr>
              <w:t>链路保护</w:t>
            </w:r>
          </w:p>
        </w:tc>
        <w:tc>
          <w:tcPr>
            <w:tcW w:type="dxa" w:w="4139"/>
            <w:tcMar>
              <w:top w:w="80" w:type="dxa"/>
              <w:bottom w:w="80" w:type="dxa"/>
              <w:left w:w="80" w:type="dxa"/>
              <w:right w:w="80" w:type="dxa"/>
            </w:tcMar>
          </w:tcPr>
          <w:p>
            <w:pPr>
              <w:spacing w:before="80" w:after="80" w:line="276" w:lineRule="auto"/>
            </w:pPr>
            <w:r>
              <w:rPr>
                <w:rFonts w:ascii="楷体_GB2312" w:hAnsi="楷体_GB2312" w:eastAsia="楷体_GB2312"/>
                <w:b w:val="0"/>
                <w:sz w:val="24"/>
              </w:rPr>
              <w:t>双向身份、实际混合组、业务关联、帧认证与重放</w:t>
            </w:r>
          </w:p>
        </w:tc>
        <w:tc>
          <w:tcPr>
            <w:tcW w:type="dxa" w:w="3118"/>
            <w:tcMar>
              <w:top w:w="80" w:type="dxa"/>
              <w:bottom w:w="80" w:type="dxa"/>
              <w:left w:w="80" w:type="dxa"/>
              <w:right w:w="80" w:type="dxa"/>
            </w:tcMar>
          </w:tcPr>
          <w:p>
            <w:pPr>
              <w:spacing w:before="80" w:after="80" w:line="276" w:lineRule="auto"/>
            </w:pPr>
            <w:r>
              <w:rPr>
                <w:rFonts w:ascii="楷体_GB2312" w:hAnsi="楷体_GB2312" w:eastAsia="楷体_GB2312"/>
                <w:b w:val="0"/>
                <w:sz w:val="24"/>
              </w:rPr>
              <w:t>真实业务路径与负向输入检查通过</w:t>
            </w:r>
          </w:p>
        </w:tc>
      </w:tr>
      <w:tr>
        <w:trPr>
          <w:cantSplit/>
        </w:trPr>
        <w:tc>
          <w:tcPr>
            <w:tcW w:type="dxa" w:w="2041"/>
            <w:tcMar>
              <w:top w:w="80" w:type="dxa"/>
              <w:bottom w:w="80" w:type="dxa"/>
              <w:left w:w="80" w:type="dxa"/>
              <w:right w:w="80" w:type="dxa"/>
            </w:tcMar>
          </w:tcPr>
          <w:p>
            <w:pPr>
              <w:spacing w:before="80" w:after="80" w:line="276" w:lineRule="auto"/>
            </w:pPr>
            <w:r>
              <w:rPr>
                <w:rFonts w:ascii="楷体_GB2312" w:hAnsi="楷体_GB2312" w:eastAsia="楷体_GB2312"/>
                <w:b w:val="0"/>
                <w:sz w:val="24"/>
              </w:rPr>
              <w:t>发布控制</w:t>
            </w:r>
          </w:p>
        </w:tc>
        <w:tc>
          <w:tcPr>
            <w:tcW w:type="dxa" w:w="4139"/>
            <w:tcMar>
              <w:top w:w="80" w:type="dxa"/>
              <w:bottom w:w="80" w:type="dxa"/>
              <w:left w:w="80" w:type="dxa"/>
              <w:right w:w="80" w:type="dxa"/>
            </w:tcMar>
          </w:tcPr>
          <w:p>
            <w:pPr>
              <w:spacing w:before="80" w:after="80" w:line="276" w:lineRule="auto"/>
            </w:pPr>
            <w:r>
              <w:rPr>
                <w:rFonts w:ascii="楷体_GB2312" w:hAnsi="楷体_GB2312" w:eastAsia="楷体_GB2312"/>
                <w:b w:val="0"/>
                <w:sz w:val="24"/>
              </w:rPr>
              <w:t>小分组、缺报、重复计量点、分组变更、共享历史及出口</w:t>
            </w:r>
          </w:p>
        </w:tc>
        <w:tc>
          <w:tcPr>
            <w:tcW w:type="dxa" w:w="3118"/>
            <w:tcMar>
              <w:top w:w="80" w:type="dxa"/>
              <w:bottom w:w="80" w:type="dxa"/>
              <w:left w:w="80" w:type="dxa"/>
              <w:right w:w="80" w:type="dxa"/>
            </w:tcMar>
          </w:tcPr>
          <w:p>
            <w:pPr>
              <w:spacing w:before="80" w:after="80" w:line="276" w:lineRule="auto"/>
            </w:pPr>
            <w:r>
              <w:rPr>
                <w:rFonts w:ascii="楷体_GB2312" w:hAnsi="楷体_GB2312" w:eastAsia="楷体_GB2312"/>
                <w:b w:val="0"/>
                <w:sz w:val="24"/>
              </w:rPr>
              <w:t>规则拒绝与统一数值出口检查通过</w:t>
            </w:r>
          </w:p>
        </w:tc>
      </w:tr>
      <w:tr>
        <w:trPr>
          <w:cantSplit/>
        </w:trPr>
        <w:tc>
          <w:tcPr>
            <w:tcW w:type="dxa" w:w="2041"/>
            <w:tcMar>
              <w:top w:w="80" w:type="dxa"/>
              <w:bottom w:w="80" w:type="dxa"/>
              <w:left w:w="80" w:type="dxa"/>
              <w:right w:w="80" w:type="dxa"/>
            </w:tcMar>
          </w:tcPr>
          <w:p>
            <w:pPr>
              <w:spacing w:before="80" w:after="80" w:line="276" w:lineRule="auto"/>
            </w:pPr>
            <w:r>
              <w:rPr>
                <w:rFonts w:ascii="楷体_GB2312" w:hAnsi="楷体_GB2312" w:eastAsia="楷体_GB2312"/>
                <w:b w:val="0"/>
                <w:sz w:val="24"/>
              </w:rPr>
              <w:t>密钥与管理</w:t>
            </w:r>
          </w:p>
        </w:tc>
        <w:tc>
          <w:tcPr>
            <w:tcW w:type="dxa" w:w="4139"/>
            <w:tcMar>
              <w:top w:w="80" w:type="dxa"/>
              <w:bottom w:w="80" w:type="dxa"/>
              <w:left w:w="80" w:type="dxa"/>
              <w:right w:w="80" w:type="dxa"/>
            </w:tcMar>
          </w:tcPr>
          <w:p>
            <w:pPr>
              <w:spacing w:before="80" w:after="80" w:line="276" w:lineRule="auto"/>
            </w:pPr>
            <w:r>
              <w:rPr>
                <w:rFonts w:ascii="楷体_GB2312" w:hAnsi="楷体_GB2312" w:eastAsia="楷体_GB2312"/>
                <w:b w:val="0"/>
                <w:sz w:val="24"/>
              </w:rPr>
              <w:t>更新撤销、TLS身份更新、审批、审计、备份与恢复</w:t>
            </w:r>
          </w:p>
        </w:tc>
        <w:tc>
          <w:tcPr>
            <w:tcW w:type="dxa" w:w="3118"/>
            <w:tcMar>
              <w:top w:w="80" w:type="dxa"/>
              <w:bottom w:w="80" w:type="dxa"/>
              <w:left w:w="80" w:type="dxa"/>
              <w:right w:w="80" w:type="dxa"/>
            </w:tcMar>
          </w:tcPr>
          <w:p>
            <w:pPr>
              <w:spacing w:before="80" w:after="80" w:line="276" w:lineRule="auto"/>
            </w:pPr>
            <w:r>
              <w:rPr>
                <w:rFonts w:ascii="楷体_GB2312" w:hAnsi="楷体_GB2312" w:eastAsia="楷体_GB2312"/>
                <w:b w:val="0"/>
                <w:sz w:val="24"/>
              </w:rPr>
              <w:t>43项管理及生命周期观察通过</w:t>
            </w:r>
          </w:p>
        </w:tc>
      </w:tr>
      <w:tr>
        <w:trPr>
          <w:cantSplit/>
        </w:trPr>
        <w:tc>
          <w:tcPr>
            <w:tcW w:type="dxa" w:w="2041"/>
            <w:tcMar>
              <w:top w:w="80" w:type="dxa"/>
              <w:bottom w:w="80" w:type="dxa"/>
              <w:left w:w="80" w:type="dxa"/>
              <w:right w:w="80" w:type="dxa"/>
            </w:tcMar>
          </w:tcPr>
          <w:p>
            <w:pPr>
              <w:spacing w:before="80" w:after="80" w:line="276" w:lineRule="auto"/>
            </w:pPr>
            <w:r>
              <w:rPr>
                <w:rFonts w:ascii="楷体_GB2312" w:hAnsi="楷体_GB2312" w:eastAsia="楷体_GB2312"/>
                <w:b w:val="0"/>
                <w:sz w:val="24"/>
              </w:rPr>
              <w:t>本机标准功能</w:t>
            </w:r>
          </w:p>
        </w:tc>
        <w:tc>
          <w:tcPr>
            <w:tcW w:type="dxa" w:w="4139"/>
            <w:tcMar>
              <w:top w:w="80" w:type="dxa"/>
              <w:bottom w:w="80" w:type="dxa"/>
              <w:left w:w="80" w:type="dxa"/>
              <w:right w:w="80" w:type="dxa"/>
            </w:tcMar>
          </w:tcPr>
          <w:p>
            <w:pPr>
              <w:spacing w:before="80" w:after="80" w:line="276" w:lineRule="auto"/>
            </w:pPr>
            <w:r>
              <w:rPr>
                <w:rFonts w:ascii="楷体_GB2312" w:hAnsi="楷体_GB2312" w:eastAsia="楷体_GB2312"/>
                <w:b w:val="0"/>
                <w:sz w:val="24"/>
              </w:rPr>
              <w:t>11项向量边界、9组应用控制、8组补充向量与互通</w:t>
            </w:r>
          </w:p>
        </w:tc>
        <w:tc>
          <w:tcPr>
            <w:tcW w:type="dxa" w:w="3118"/>
            <w:tcMar>
              <w:top w:w="80" w:type="dxa"/>
              <w:bottom w:w="80" w:type="dxa"/>
              <w:left w:w="80" w:type="dxa"/>
              <w:right w:w="80" w:type="dxa"/>
            </w:tcMar>
          </w:tcPr>
          <w:p>
            <w:pPr>
              <w:spacing w:before="80" w:after="80" w:line="276" w:lineRule="auto"/>
            </w:pPr>
            <w:r>
              <w:rPr>
                <w:rFonts w:ascii="楷体_GB2312" w:hAnsi="楷体_GB2312" w:eastAsia="楷体_GB2312"/>
                <w:b w:val="0"/>
                <w:sz w:val="24"/>
              </w:rPr>
              <w:t>所选功能与当前任务证据核对通过</w:t>
            </w:r>
          </w:p>
        </w:tc>
      </w:tr>
      <w:tr>
        <w:trPr>
          <w:cantSplit/>
        </w:trPr>
        <w:tc>
          <w:tcPr>
            <w:tcW w:type="dxa" w:w="2041"/>
            <w:tcMar>
              <w:top w:w="80" w:type="dxa"/>
              <w:bottom w:w="80" w:type="dxa"/>
              <w:left w:w="80" w:type="dxa"/>
              <w:right w:w="80" w:type="dxa"/>
            </w:tcMar>
          </w:tcPr>
          <w:p>
            <w:pPr>
              <w:spacing w:before="80" w:after="80" w:line="276" w:lineRule="auto"/>
            </w:pPr>
            <w:r>
              <w:rPr>
                <w:rFonts w:ascii="楷体_GB2312" w:hAnsi="楷体_GB2312" w:eastAsia="楷体_GB2312"/>
                <w:b w:val="0"/>
                <w:sz w:val="24"/>
              </w:rPr>
              <w:t>工作台</w:t>
            </w:r>
          </w:p>
        </w:tc>
        <w:tc>
          <w:tcPr>
            <w:tcW w:type="dxa" w:w="4139"/>
            <w:tcMar>
              <w:top w:w="80" w:type="dxa"/>
              <w:bottom w:w="80" w:type="dxa"/>
              <w:left w:w="80" w:type="dxa"/>
              <w:right w:w="80" w:type="dxa"/>
            </w:tcMar>
          </w:tcPr>
          <w:p>
            <w:pPr>
              <w:spacing w:before="80" w:after="80" w:line="276" w:lineRule="auto"/>
            </w:pPr>
            <w:r>
              <w:rPr>
                <w:rFonts w:ascii="楷体_GB2312" w:hAnsi="楷体_GB2312" w:eastAsia="楷体_GB2312"/>
                <w:b w:val="0"/>
                <w:sz w:val="24"/>
              </w:rPr>
              <w:t>八页导航、登录、任务回放、指标核验与宽窄布局</w:t>
            </w:r>
          </w:p>
        </w:tc>
        <w:tc>
          <w:tcPr>
            <w:tcW w:type="dxa" w:w="3118"/>
            <w:tcMar>
              <w:top w:w="80" w:type="dxa"/>
              <w:bottom w:w="80" w:type="dxa"/>
              <w:left w:w="80" w:type="dxa"/>
              <w:right w:w="80" w:type="dxa"/>
            </w:tcMar>
          </w:tcPr>
          <w:p>
            <w:pPr>
              <w:spacing w:before="80" w:after="80" w:line="276" w:lineRule="auto"/>
            </w:pPr>
            <w:r>
              <w:rPr>
                <w:rFonts w:ascii="楷体_GB2312" w:hAnsi="楷体_GB2312" w:eastAsia="楷体_GB2312"/>
                <w:b w:val="0"/>
                <w:sz w:val="24"/>
              </w:rPr>
              <w:t>实际Chrome检查及12项功能自检通过</w:t>
            </w:r>
          </w:p>
        </w:tc>
      </w:tr>
    </w:tbl>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验证证据与代码版本逐一绑定：发布保护及园区评估版本7bdcf87e完成101项完整回归、1002份来源引用核对；当前核心250da672完成47项针对性回归、445份测试证据引用核对，覆盖发布与自检路径。评审可据此确认每项功能由哪个版本、哪些实际记录支撑。</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规则执行也覆盖异常与恢复过程。任务取消、重启、提交前中断、提交后恢复、待恢复内容变化及受保护发布状态均纳入测试；真实事件日缺报时，整套16个窗口评估按规则保持未发布。0%、10%、20%响应输入、参考方法与固定分组敏感性对照，进一步检查业务指标和发布判定在不同条件下的表现。</w:t>
      </w:r>
    </w:p>
    <w:p w14:paraId="2734E110">
      <w:pPr>
        <w:pStyle w:val="3"/>
        <w:keepNext/>
        <w:spacing w:before="160" w:after="120" w:line="360" w:lineRule="auto"/>
        <w:rPr>
          <w:rFonts w:ascii="Times New Roman" w:hAnsi="Times New Roman" w:eastAsia="黑体" w:cs="Times New Roman"/>
          <w:sz w:val="28"/>
          <w:szCs w:val="28"/>
        </w:rPr>
      </w:pPr>
      <w:r>
        <w:rPr>
          <w:rFonts w:ascii="Times New Roman" w:hAnsi="Times New Roman" w:eastAsia="黑体" w:cs="Times New Roman"/>
          <w:sz w:val="28"/>
          <w:szCs w:val="28"/>
        </w:rPr>
        <w:t>3.3 园区实例与可核验业务指标</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当前核心的一次REAL园区任务，把源侧加密、多源聚合、受控发布和指标复算完整连接：300个合成计量点由三个独立Source处理，其中150个获准参与。事件日为2026年10月16日，取此前三个指定工作日，比较17时至18时UTC。16个密态窗口及其签名输入、发布决定和业务公式均已核对，得到下列业务指标。</w:t>
      </w:r>
    </w:p>
    <w:tbl>
      <w:tblPr>
        <w:tblW w:type="auto" w:w="0"/>
        <w:tblLayout w:type="fixed"/>
        <w:tblLook w:firstColumn="1" w:firstRow="1" w:lastColumn="0" w:lastRow="0" w:noHBand="0" w:noVBand="1" w:val="04A0"/>
        <w:tblBorders>
          <w:top w:val="single" w:sz="4" w:color="BFC9D0"/>
          <w:bottom w:val="single" w:sz="4" w:color="BFC9D0"/>
          <w:left w:val="single" w:sz="4" w:color="BFC9D0"/>
          <w:right w:val="single" w:sz="4" w:color="BFC9D0"/>
          <w:insideH w:val="single" w:sz="4" w:color="BFC9D0"/>
          <w:insideV w:val="single" w:sz="4" w:color="BFC9D0"/>
        </w:tblBorders>
      </w:tblPr>
      <w:tblGrid>
        <w:gridCol w:w="2041"/>
        <w:gridCol w:w="4139"/>
        <w:gridCol w:w="3118"/>
      </w:tblGrid>
      <w:tr>
        <w:trPr>
          <w:cantSplit/>
          <w:tblHeader/>
        </w:trPr>
        <w:tc>
          <w:tcPr>
            <w:tcW w:type="dxa" w:w="2041"/>
            <w:tcMar>
              <w:top w:w="80" w:type="dxa"/>
              <w:bottom w:w="80" w:type="dxa"/>
              <w:left w:w="80" w:type="dxa"/>
              <w:right w:w="80" w:type="dxa"/>
            </w:tcMar>
          </w:tcPr>
          <w:p>
            <w:pPr>
              <w:keepNext/>
              <w:spacing w:before="80" w:after="80" w:line="276" w:lineRule="auto"/>
            </w:pPr>
            <w:r>
              <w:rPr>
                <w:rFonts w:ascii="楷体_GB2312" w:hAnsi="楷体_GB2312" w:eastAsia="楷体_GB2312"/>
                <w:b/>
                <w:sz w:val="24"/>
              </w:rPr>
              <w:t>指标</w:t>
            </w:r>
          </w:p>
        </w:tc>
        <w:tc>
          <w:tcPr>
            <w:tcW w:type="dxa" w:w="4139"/>
            <w:tcMar>
              <w:top w:w="80" w:type="dxa"/>
              <w:bottom w:w="80" w:type="dxa"/>
              <w:left w:w="80" w:type="dxa"/>
              <w:right w:w="80" w:type="dxa"/>
            </w:tcMar>
          </w:tcPr>
          <w:p>
            <w:pPr>
              <w:keepNext/>
              <w:spacing w:before="80" w:after="80" w:line="276" w:lineRule="auto"/>
            </w:pPr>
            <w:r>
              <w:rPr>
                <w:rFonts w:ascii="楷体_GB2312" w:hAnsi="楷体_GB2312" w:eastAsia="楷体_GB2312"/>
                <w:b/>
                <w:sz w:val="24"/>
              </w:rPr>
              <w:t>实测评估值</w:t>
            </w:r>
          </w:p>
        </w:tc>
        <w:tc>
          <w:tcPr>
            <w:tcW w:type="dxa" w:w="3118"/>
            <w:tcMar>
              <w:top w:w="80" w:type="dxa"/>
              <w:bottom w:w="80" w:type="dxa"/>
              <w:left w:w="80" w:type="dxa"/>
              <w:right w:w="80" w:type="dxa"/>
            </w:tcMar>
          </w:tcPr>
          <w:p>
            <w:pPr>
              <w:keepNext/>
              <w:spacing w:before="80" w:after="80" w:line="276" w:lineRule="auto"/>
            </w:pPr>
            <w:r>
              <w:rPr>
                <w:rFonts w:ascii="楷体_GB2312" w:hAnsi="楷体_GB2312" w:eastAsia="楷体_GB2312"/>
                <w:b/>
                <w:sz w:val="24"/>
              </w:rPr>
              <w:t>含义</w:t>
            </w:r>
          </w:p>
        </w:tc>
      </w:tr>
      <w:tr>
        <w:trPr>
          <w:cantSplit/>
        </w:trPr>
        <w:tc>
          <w:tcPr>
            <w:tcW w:type="dxa" w:w="2041"/>
            <w:tcMar>
              <w:top w:w="80" w:type="dxa"/>
              <w:bottom w:w="80" w:type="dxa"/>
              <w:left w:w="80" w:type="dxa"/>
              <w:right w:w="80" w:type="dxa"/>
            </w:tcMar>
          </w:tcPr>
          <w:p>
            <w:pPr>
              <w:keepNext/>
              <w:spacing w:before="80" w:after="80" w:line="276" w:lineRule="auto"/>
            </w:pPr>
            <w:r>
              <w:rPr>
                <w:rFonts w:ascii="楷体_GB2312" w:hAnsi="楷体_GB2312" w:eastAsia="楷体_GB2312"/>
                <w:b w:val="0"/>
                <w:sz w:val="24"/>
              </w:rPr>
              <w:t>平均降负荷</w:t>
            </w:r>
          </w:p>
        </w:tc>
        <w:tc>
          <w:tcPr>
            <w:tcW w:type="dxa" w:w="4139"/>
            <w:tcMar>
              <w:top w:w="80" w:type="dxa"/>
              <w:bottom w:w="80" w:type="dxa"/>
              <w:left w:w="80" w:type="dxa"/>
              <w:right w:w="80" w:type="dxa"/>
            </w:tcMar>
          </w:tcPr>
          <w:p>
            <w:pPr>
              <w:keepNext/>
              <w:spacing w:before="80" w:after="80" w:line="276" w:lineRule="auto"/>
            </w:pPr>
            <w:r>
              <w:rPr>
                <w:rFonts w:ascii="楷体_GB2312" w:hAnsi="楷体_GB2312" w:eastAsia="楷体_GB2312"/>
                <w:b w:val="0"/>
                <w:sz w:val="24"/>
              </w:rPr>
              <w:t>160.47 kW</w:t>
            </w:r>
          </w:p>
        </w:tc>
        <w:tc>
          <w:tcPr>
            <w:tcW w:type="dxa" w:w="3118"/>
            <w:tcMar>
              <w:top w:w="80" w:type="dxa"/>
              <w:bottom w:w="80" w:type="dxa"/>
              <w:left w:w="80" w:type="dxa"/>
              <w:right w:w="80" w:type="dxa"/>
            </w:tcMar>
          </w:tcPr>
          <w:p>
            <w:pPr>
              <w:keepNext/>
              <w:spacing w:before="80" w:after="80" w:line="276" w:lineRule="auto"/>
            </w:pPr>
            <w:r>
              <w:rPr>
                <w:rFonts w:ascii="楷体_GB2312" w:hAnsi="楷体_GB2312" w:eastAsia="楷体_GB2312"/>
                <w:b w:val="0"/>
                <w:sz w:val="24"/>
              </w:rPr>
              <w:t>事件负荷相对三日参考的四时段平均差</w:t>
            </w:r>
          </w:p>
        </w:tc>
      </w:tr>
      <w:tr>
        <w:trPr>
          <w:cantSplit/>
        </w:trPr>
        <w:tc>
          <w:tcPr>
            <w:tcW w:type="dxa" w:w="2041"/>
            <w:tcMar>
              <w:top w:w="80" w:type="dxa"/>
              <w:bottom w:w="80" w:type="dxa"/>
              <w:left w:w="80" w:type="dxa"/>
              <w:right w:w="80" w:type="dxa"/>
            </w:tcMar>
          </w:tcPr>
          <w:p>
            <w:pPr>
              <w:keepNext/>
              <w:spacing w:before="80" w:after="80" w:line="276" w:lineRule="auto"/>
            </w:pPr>
            <w:r>
              <w:rPr>
                <w:rFonts w:ascii="楷体_GB2312" w:hAnsi="楷体_GB2312" w:eastAsia="楷体_GB2312"/>
                <w:b w:val="0"/>
                <w:sz w:val="24"/>
              </w:rPr>
              <w:t>相对参考变化</w:t>
            </w:r>
          </w:p>
        </w:tc>
        <w:tc>
          <w:tcPr>
            <w:tcW w:type="dxa" w:w="4139"/>
            <w:tcMar>
              <w:top w:w="80" w:type="dxa"/>
              <w:bottom w:w="80" w:type="dxa"/>
              <w:left w:w="80" w:type="dxa"/>
              <w:right w:w="80" w:type="dxa"/>
            </w:tcMar>
          </w:tcPr>
          <w:p>
            <w:pPr>
              <w:keepNext/>
              <w:spacing w:before="80" w:after="80" w:line="276" w:lineRule="auto"/>
            </w:pPr>
            <w:r>
              <w:rPr>
                <w:rFonts w:ascii="楷体_GB2312" w:hAnsi="楷体_GB2312" w:eastAsia="楷体_GB2312"/>
                <w:b w:val="0"/>
                <w:sz w:val="24"/>
              </w:rPr>
              <w:t>10.28%</w:t>
            </w:r>
          </w:p>
        </w:tc>
        <w:tc>
          <w:tcPr>
            <w:tcW w:type="dxa" w:w="3118"/>
            <w:tcMar>
              <w:top w:w="80" w:type="dxa"/>
              <w:bottom w:w="80" w:type="dxa"/>
              <w:left w:w="80" w:type="dxa"/>
              <w:right w:w="80" w:type="dxa"/>
            </w:tcMar>
          </w:tcPr>
          <w:p>
            <w:pPr>
              <w:keepNext/>
              <w:spacing w:before="80" w:after="80" w:line="276" w:lineRule="auto"/>
            </w:pPr>
            <w:r>
              <w:rPr>
                <w:rFonts w:ascii="楷体_GB2312" w:hAnsi="楷体_GB2312" w:eastAsia="楷体_GB2312"/>
                <w:b w:val="0"/>
                <w:sz w:val="24"/>
              </w:rPr>
              <w:t>时段功率差之和与参考功率之和的比值</w:t>
            </w:r>
          </w:p>
        </w:tc>
      </w:tr>
      <w:tr>
        <w:trPr>
          <w:cantSplit/>
        </w:trPr>
        <w:tc>
          <w:tcPr>
            <w:tcW w:type="dxa" w:w="2041"/>
            <w:tcMar>
              <w:top w:w="80" w:type="dxa"/>
              <w:bottom w:w="80" w:type="dxa"/>
              <w:left w:w="80" w:type="dxa"/>
              <w:right w:w="80" w:type="dxa"/>
            </w:tcMar>
          </w:tcPr>
          <w:p>
            <w:pPr>
              <w:keepNext/>
              <w:spacing w:before="80" w:after="80" w:line="276" w:lineRule="auto"/>
            </w:pPr>
            <w:r>
              <w:rPr>
                <w:rFonts w:ascii="楷体_GB2312" w:hAnsi="楷体_GB2312" w:eastAsia="楷体_GB2312"/>
                <w:b w:val="0"/>
                <w:sz w:val="24"/>
              </w:rPr>
              <w:t>窗口能量差</w:t>
            </w:r>
          </w:p>
        </w:tc>
        <w:tc>
          <w:tcPr>
            <w:tcW w:type="dxa" w:w="4139"/>
            <w:tcMar>
              <w:top w:w="80" w:type="dxa"/>
              <w:bottom w:w="80" w:type="dxa"/>
              <w:left w:w="80" w:type="dxa"/>
              <w:right w:w="80" w:type="dxa"/>
            </w:tcMar>
          </w:tcPr>
          <w:p>
            <w:pPr>
              <w:keepNext/>
              <w:spacing w:before="80" w:after="80" w:line="276" w:lineRule="auto"/>
            </w:pPr>
            <w:r>
              <w:rPr>
                <w:rFonts w:ascii="楷体_GB2312" w:hAnsi="楷体_GB2312" w:eastAsia="楷体_GB2312"/>
                <w:b w:val="0"/>
                <w:sz w:val="24"/>
              </w:rPr>
              <w:t>160.47 kWh</w:t>
            </w:r>
          </w:p>
        </w:tc>
        <w:tc>
          <w:tcPr>
            <w:tcW w:type="dxa" w:w="3118"/>
            <w:tcMar>
              <w:top w:w="80" w:type="dxa"/>
              <w:bottom w:w="80" w:type="dxa"/>
              <w:left w:w="80" w:type="dxa"/>
              <w:right w:w="80" w:type="dxa"/>
            </w:tcMar>
          </w:tcPr>
          <w:p>
            <w:pPr>
              <w:keepNext/>
              <w:spacing w:before="80" w:after="80" w:line="276" w:lineRule="auto"/>
            </w:pPr>
            <w:r>
              <w:rPr>
                <w:rFonts w:ascii="楷体_GB2312" w:hAnsi="楷体_GB2312" w:eastAsia="楷体_GB2312"/>
                <w:b w:val="0"/>
                <w:sz w:val="24"/>
              </w:rPr>
              <w:t>一小时内四个十五分钟功率差的积分</w:t>
            </w:r>
          </w:p>
        </w:tc>
      </w:tr>
      <w:tr>
        <w:trPr>
          <w:cantSplit/>
        </w:trPr>
        <w:tc>
          <w:tcPr>
            <w:tcW w:type="dxa" w:w="2041"/>
            <w:tcMar>
              <w:top w:w="80" w:type="dxa"/>
              <w:bottom w:w="80" w:type="dxa"/>
              <w:left w:w="80" w:type="dxa"/>
              <w:right w:w="80" w:type="dxa"/>
            </w:tcMar>
          </w:tcPr>
          <w:p>
            <w:pPr>
              <w:spacing w:before="80" w:after="80" w:line="276" w:lineRule="auto"/>
            </w:pPr>
            <w:r>
              <w:rPr>
                <w:rFonts w:ascii="楷体_GB2312" w:hAnsi="楷体_GB2312" w:eastAsia="楷体_GB2312"/>
                <w:b w:val="0"/>
                <w:sz w:val="24"/>
              </w:rPr>
              <w:t>有效覆盖</w:t>
            </w:r>
          </w:p>
        </w:tc>
        <w:tc>
          <w:tcPr>
            <w:tcW w:type="dxa" w:w="4139"/>
            <w:tcMar>
              <w:top w:w="80" w:type="dxa"/>
              <w:bottom w:w="80" w:type="dxa"/>
              <w:left w:w="80" w:type="dxa"/>
              <w:right w:w="80" w:type="dxa"/>
            </w:tcMar>
          </w:tcPr>
          <w:p>
            <w:pPr>
              <w:spacing w:before="80" w:after="80" w:line="276" w:lineRule="auto"/>
            </w:pPr>
            <w:r>
              <w:rPr>
                <w:rFonts w:ascii="楷体_GB2312" w:hAnsi="楷体_GB2312" w:eastAsia="楷体_GB2312"/>
                <w:b w:val="0"/>
                <w:sz w:val="24"/>
              </w:rPr>
              <w:t>100%</w:t>
            </w:r>
          </w:p>
        </w:tc>
        <w:tc>
          <w:tcPr>
            <w:tcW w:type="dxa" w:w="3118"/>
            <w:tcMar>
              <w:top w:w="80" w:type="dxa"/>
              <w:bottom w:w="80" w:type="dxa"/>
              <w:left w:w="80" w:type="dxa"/>
              <w:right w:w="80" w:type="dxa"/>
            </w:tcMar>
          </w:tcPr>
          <w:p>
            <w:pPr>
              <w:spacing w:before="80" w:after="80" w:line="276" w:lineRule="auto"/>
            </w:pPr>
            <w:r>
              <w:rPr>
                <w:rFonts w:ascii="楷体_GB2312" w:hAnsi="楷体_GB2312" w:eastAsia="楷体_GB2312"/>
                <w:b w:val="0"/>
                <w:sz w:val="24"/>
              </w:rPr>
              <w:t>150个登记参与点满足完整发布条件</w:t>
            </w:r>
          </w:p>
        </w:tc>
      </w:tr>
    </w:tbl>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
      </w:r>
    </w:p>
    <w:p w14:paraId="32AAE786">
      <w:pPr>
        <w:keepNext/>
        <w:widowControl/>
        <w:adjustRightInd w:val="0"/>
        <w:snapToGrid w:val="0"/>
        <w:spacing w:line="240" w:lineRule="auto" w:after="80"/>
        <w:ind w:firstLine="0"/>
        <w:jc w:val="center"/>
        <w:rPr>
          <w:rFonts w:ascii="楷体_GB2312" w:hAnsi="Times New Roman" w:eastAsia="楷体_GB2312"/>
          <w:bCs/>
          <w:sz w:val="28"/>
          <w:szCs w:val="28"/>
        </w:rPr>
      </w:pPr>
      <w:r>
        <w:rPr>
          <w:rFonts w:hint="eastAsia" w:ascii="楷体_GB2312" w:hAnsi="Times New Roman" w:eastAsia="楷体_GB2312"/>
          <w:bCs/>
          <w:sz w:val="28"/>
          <w:szCs w:val="28"/>
        </w:rPr>
        <w:t/>
      </w:r>
      <w:r>
        <w:drawing>
          <wp:inline xmlns:a="http://schemas.openxmlformats.org/drawingml/2006/main" xmlns:pic="http://schemas.openxmlformats.org/drawingml/2006/picture">
            <wp:extent cx="5940000" cy="2971279"/>
            <wp:docPr id="6" name="Picture 6"/>
            <wp:cNvGraphicFramePr>
              <a:graphicFrameLocks noChangeAspect="1"/>
            </wp:cNvGraphicFramePr>
            <a:graphic>
              <a:graphicData uri="http://schemas.openxmlformats.org/drawingml/2006/picture">
                <pic:pic>
                  <pic:nvPicPr>
                    <pic:cNvPr id="0" name="response.png"/>
                    <pic:cNvPicPr/>
                  </pic:nvPicPr>
                  <pic:blipFill>
                    <a:blip r:embed="rId13"/>
                    <a:stretch>
                      <a:fillRect/>
                    </a:stretch>
                  </pic:blipFill>
                  <pic:spPr>
                    <a:xfrm>
                      <a:off x="0" y="0"/>
                      <a:ext cx="5940000" cy="2971279"/>
                    </a:xfrm>
                    <a:prstGeom prst="rect"/>
                  </pic:spPr>
                </pic:pic>
              </a:graphicData>
            </a:graphic>
          </wp:inline>
        </w:drawing>
      </w:r>
    </w:p>
    <w:p w14:paraId="32AAE786">
      <w:pPr>
        <w:widowControl/>
        <w:adjustRightInd w:val="0"/>
        <w:snapToGrid w:val="0"/>
        <w:spacing w:line="480" w:lineRule="exact" w:after="80"/>
        <w:ind w:firstLine="0"/>
        <w:jc w:val="center"/>
        <w:rPr>
          <w:rFonts w:ascii="楷体_GB2312" w:hAnsi="Times New Roman" w:eastAsia="楷体_GB2312"/>
          <w:bCs/>
          <w:sz w:val="28"/>
          <w:szCs w:val="28"/>
        </w:rPr>
      </w:pPr>
      <w:r>
        <w:rPr>
          <w:rFonts w:hint="eastAsia" w:ascii="楷体_GB2312" w:hAnsi="Times New Roman" w:eastAsia="楷体_GB2312"/>
          <w:bCs/>
          <w:sz w:val="24"/>
          <w:szCs w:val="28"/>
        </w:rPr>
        <w:t>图4 受控合成场景中四个已核验时段的参考负荷与事件负荷</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实例从预设10%响应的合成输入得到10.28%的三日参考评估值。输入条件与估计结果分别保留，四个曲线点对应四个实际核验窗口，能够据此复算差值、能量差和覆盖率，并分析参考负荷对评估值的影响。业务展示因此具备可追溯的数值依据。</w:t>
      </w:r>
    </w:p>
    <w:p w14:paraId="2734E110">
      <w:pPr>
        <w:pStyle w:val="3"/>
        <w:keepNext/>
        <w:spacing w:before="160" w:after="120" w:line="360" w:lineRule="auto"/>
        <w:rPr>
          <w:rFonts w:ascii="Times New Roman" w:hAnsi="Times New Roman" w:eastAsia="黑体" w:cs="Times New Roman"/>
          <w:sz w:val="28"/>
          <w:szCs w:val="28"/>
        </w:rPr>
      </w:pPr>
      <w:r>
        <w:rPr>
          <w:rFonts w:ascii="Times New Roman" w:hAnsi="Times New Roman" w:eastAsia="黑体" w:cs="Times New Roman"/>
          <w:sz w:val="28"/>
          <w:szCs w:val="28"/>
        </w:rPr>
        <w:t>3.4 发布保护的实测增量开销</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同条件实验直接度量发布控制的增量成本。C1启用发布保护，C0为隔离密态对照；两组保持相同输入、PFDAM、联合签名、国密增强、三Source与核验次数，仅C0在私有实验中跳过发布判定和历史事务，数值保存在私有测量记录中。因此，组间差异能够对应到发布规则与历史管理的额外运行成本。</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样本按事前保存的顺序配对，每种配置另做两对预热。主计时从任务接纳覆盖四日期密态计算、内部核验、签名评估至证据就绪，体现业务任务的实际执行成本；数据准备、浏览器和API排队不在此范围。CPU、RSS及TLS端点字节另按独立口径记录，使时间、资源与通信开销可以分别评估。</w:t>
      </w:r>
    </w:p>
    <w:tbl>
      <w:tblPr>
        <w:tblW w:type="auto" w:w="0"/>
        <w:tblLayout w:type="fixed"/>
        <w:tblLook w:firstColumn="1" w:firstRow="1" w:lastColumn="0" w:lastRow="0" w:noHBand="0" w:noVBand="1" w:val="04A0"/>
        <w:tblBorders>
          <w:top w:val="single" w:sz="4" w:color="BFC9D0"/>
          <w:bottom w:val="single" w:sz="4" w:color="BFC9D0"/>
          <w:left w:val="single" w:sz="4" w:color="BFC9D0"/>
          <w:right w:val="single" w:sz="4" w:color="BFC9D0"/>
          <w:insideH w:val="single" w:sz="4" w:color="BFC9D0"/>
          <w:insideV w:val="single" w:sz="4" w:color="BFC9D0"/>
        </w:tblBorders>
      </w:tblPr>
      <w:tblGrid>
        <w:gridCol w:w="1361"/>
        <w:gridCol w:w="907"/>
        <w:gridCol w:w="1361"/>
        <w:gridCol w:w="1361"/>
        <w:gridCol w:w="2381"/>
        <w:gridCol w:w="1928"/>
      </w:tblGrid>
      <w:tr>
        <w:trPr>
          <w:cantSplit/>
          <w:tblHeader/>
        </w:trPr>
        <w:tc>
          <w:tcPr>
            <w:tcW w:type="dxa" w:w="1361"/>
            <w:tcMar>
              <w:top w:w="80" w:type="dxa"/>
              <w:bottom w:w="80" w:type="dxa"/>
              <w:left w:w="80" w:type="dxa"/>
              <w:right w:w="80" w:type="dxa"/>
            </w:tcMar>
          </w:tcPr>
          <w:p>
            <w:pPr>
              <w:keepNext/>
              <w:spacing w:before="80" w:after="80" w:line="276" w:lineRule="auto"/>
            </w:pPr>
            <w:r>
              <w:rPr>
                <w:rFonts w:ascii="楷体_GB2312" w:hAnsi="楷体_GB2312" w:eastAsia="楷体_GB2312"/>
                <w:b/>
                <w:sz w:val="24"/>
              </w:rPr>
              <w:t>输入／授权点</w:t>
            </w:r>
          </w:p>
        </w:tc>
        <w:tc>
          <w:tcPr>
            <w:tcW w:type="dxa" w:w="907"/>
            <w:tcMar>
              <w:top w:w="80" w:type="dxa"/>
              <w:bottom w:w="80" w:type="dxa"/>
              <w:left w:w="80" w:type="dxa"/>
              <w:right w:w="80" w:type="dxa"/>
            </w:tcMar>
          </w:tcPr>
          <w:p>
            <w:pPr>
              <w:keepNext/>
              <w:spacing w:before="80" w:after="80" w:line="276" w:lineRule="auto"/>
            </w:pPr>
            <w:r>
              <w:rPr>
                <w:rFonts w:ascii="楷体_GB2312" w:hAnsi="楷体_GB2312" w:eastAsia="楷体_GB2312"/>
                <w:b/>
                <w:sz w:val="24"/>
              </w:rPr>
              <w:t>正式配对</w:t>
            </w:r>
          </w:p>
        </w:tc>
        <w:tc>
          <w:tcPr>
            <w:tcW w:type="dxa" w:w="1361"/>
            <w:tcMar>
              <w:top w:w="80" w:type="dxa"/>
              <w:bottom w:w="80" w:type="dxa"/>
              <w:left w:w="80" w:type="dxa"/>
              <w:right w:w="80" w:type="dxa"/>
            </w:tcMar>
          </w:tcPr>
          <w:p>
            <w:pPr>
              <w:keepNext/>
              <w:spacing w:before="80" w:after="80" w:line="276" w:lineRule="auto"/>
            </w:pPr>
            <w:r>
              <w:rPr>
                <w:rFonts w:ascii="楷体_GB2312" w:hAnsi="楷体_GB2312" w:eastAsia="楷体_GB2312"/>
                <w:b/>
                <w:sz w:val="24"/>
              </w:rPr>
              <w:t>C1中位数秒</w:t>
            </w:r>
          </w:p>
        </w:tc>
        <w:tc>
          <w:tcPr>
            <w:tcW w:type="dxa" w:w="1361"/>
            <w:tcMar>
              <w:top w:w="80" w:type="dxa"/>
              <w:bottom w:w="80" w:type="dxa"/>
              <w:left w:w="80" w:type="dxa"/>
              <w:right w:w="80" w:type="dxa"/>
            </w:tcMar>
          </w:tcPr>
          <w:p>
            <w:pPr>
              <w:keepNext/>
              <w:spacing w:before="80" w:after="80" w:line="276" w:lineRule="auto"/>
            </w:pPr>
            <w:r>
              <w:rPr>
                <w:rFonts w:ascii="楷体_GB2312" w:hAnsi="楷体_GB2312" w:eastAsia="楷体_GB2312"/>
                <w:b/>
                <w:sz w:val="24"/>
              </w:rPr>
              <w:t>C0中位数秒</w:t>
            </w:r>
          </w:p>
        </w:tc>
        <w:tc>
          <w:tcPr>
            <w:tcW w:type="dxa" w:w="2381"/>
            <w:tcMar>
              <w:top w:w="80" w:type="dxa"/>
              <w:bottom w:w="80" w:type="dxa"/>
              <w:left w:w="80" w:type="dxa"/>
              <w:right w:w="80" w:type="dxa"/>
            </w:tcMar>
          </w:tcPr>
          <w:p>
            <w:pPr>
              <w:keepNext/>
              <w:spacing w:before="80" w:after="80" w:line="276" w:lineRule="auto"/>
            </w:pPr>
            <w:r>
              <w:rPr>
                <w:rFonts w:ascii="楷体_GB2312" w:hAnsi="楷体_GB2312" w:eastAsia="楷体_GB2312"/>
                <w:b/>
                <w:sz w:val="24"/>
              </w:rPr>
              <w:t>逐对中位增量</w:t>
            </w:r>
          </w:p>
        </w:tc>
        <w:tc>
          <w:tcPr>
            <w:tcW w:type="dxa" w:w="1928"/>
            <w:tcMar>
              <w:top w:w="80" w:type="dxa"/>
              <w:bottom w:w="80" w:type="dxa"/>
              <w:left w:w="80" w:type="dxa"/>
              <w:right w:w="80" w:type="dxa"/>
            </w:tcMar>
          </w:tcPr>
          <w:p>
            <w:pPr>
              <w:keepNext/>
              <w:spacing w:before="80" w:after="80" w:line="276" w:lineRule="auto"/>
            </w:pPr>
            <w:r>
              <w:rPr>
                <w:rFonts w:ascii="楷体_GB2312" w:hAnsi="楷体_GB2312" w:eastAsia="楷体_GB2312"/>
                <w:b/>
                <w:sz w:val="24"/>
              </w:rPr>
              <w:t>构建版本</w:t>
            </w:r>
          </w:p>
        </w:tc>
      </w:tr>
      <w:tr>
        <w:trPr>
          <w:cantSplit/>
        </w:trPr>
        <w:tc>
          <w:tcPr>
            <w:tcW w:type="dxa" w:w="1361"/>
            <w:tcMar>
              <w:top w:w="80" w:type="dxa"/>
              <w:bottom w:w="80" w:type="dxa"/>
              <w:left w:w="80" w:type="dxa"/>
              <w:right w:w="80" w:type="dxa"/>
            </w:tcMar>
          </w:tcPr>
          <w:p>
            <w:pPr>
              <w:keepNext/>
              <w:spacing w:before="80" w:after="80" w:line="276" w:lineRule="auto"/>
            </w:pPr>
            <w:r>
              <w:rPr>
                <w:rFonts w:ascii="楷体_GB2312" w:hAnsi="楷体_GB2312" w:eastAsia="楷体_GB2312"/>
                <w:b w:val="0"/>
                <w:sz w:val="24"/>
              </w:rPr>
              <w:t>120／60</w:t>
            </w:r>
          </w:p>
        </w:tc>
        <w:tc>
          <w:tcPr>
            <w:tcW w:type="dxa" w:w="907"/>
            <w:tcMar>
              <w:top w:w="80" w:type="dxa"/>
              <w:bottom w:w="80" w:type="dxa"/>
              <w:left w:w="80" w:type="dxa"/>
              <w:right w:w="80" w:type="dxa"/>
            </w:tcMar>
          </w:tcPr>
          <w:p>
            <w:pPr>
              <w:keepNext/>
              <w:spacing w:before="80" w:after="80" w:line="276" w:lineRule="auto"/>
            </w:pPr>
            <w:r>
              <w:rPr>
                <w:rFonts w:ascii="楷体_GB2312" w:hAnsi="楷体_GB2312" w:eastAsia="楷体_GB2312"/>
                <w:b w:val="0"/>
                <w:sz w:val="24"/>
              </w:rPr>
              <w:t>5</w:t>
            </w:r>
          </w:p>
        </w:tc>
        <w:tc>
          <w:tcPr>
            <w:tcW w:type="dxa" w:w="1361"/>
            <w:tcMar>
              <w:top w:w="80" w:type="dxa"/>
              <w:bottom w:w="80" w:type="dxa"/>
              <w:left w:w="80" w:type="dxa"/>
              <w:right w:w="80" w:type="dxa"/>
            </w:tcMar>
          </w:tcPr>
          <w:p>
            <w:pPr>
              <w:keepNext/>
              <w:spacing w:before="80" w:after="80" w:line="276" w:lineRule="auto"/>
            </w:pPr>
            <w:r>
              <w:rPr>
                <w:rFonts w:ascii="楷体_GB2312" w:hAnsi="楷体_GB2312" w:eastAsia="楷体_GB2312"/>
                <w:b w:val="0"/>
                <w:sz w:val="24"/>
              </w:rPr>
              <w:t>45.71</w:t>
            </w:r>
          </w:p>
        </w:tc>
        <w:tc>
          <w:tcPr>
            <w:tcW w:type="dxa" w:w="1361"/>
            <w:tcMar>
              <w:top w:w="80" w:type="dxa"/>
              <w:bottom w:w="80" w:type="dxa"/>
              <w:left w:w="80" w:type="dxa"/>
              <w:right w:w="80" w:type="dxa"/>
            </w:tcMar>
          </w:tcPr>
          <w:p>
            <w:pPr>
              <w:keepNext/>
              <w:spacing w:before="80" w:after="80" w:line="276" w:lineRule="auto"/>
            </w:pPr>
            <w:r>
              <w:rPr>
                <w:rFonts w:ascii="楷体_GB2312" w:hAnsi="楷体_GB2312" w:eastAsia="楷体_GB2312"/>
                <w:b w:val="0"/>
                <w:sz w:val="24"/>
              </w:rPr>
              <w:t>44.89</w:t>
            </w:r>
          </w:p>
        </w:tc>
        <w:tc>
          <w:tcPr>
            <w:tcW w:type="dxa" w:w="2381"/>
            <w:tcMar>
              <w:top w:w="80" w:type="dxa"/>
              <w:bottom w:w="80" w:type="dxa"/>
              <w:left w:w="80" w:type="dxa"/>
              <w:right w:w="80" w:type="dxa"/>
            </w:tcMar>
          </w:tcPr>
          <w:p>
            <w:pPr>
              <w:keepNext/>
              <w:spacing w:before="80" w:after="80" w:line="276" w:lineRule="auto"/>
            </w:pPr>
            <w:r>
              <w:rPr>
                <w:rFonts w:ascii="楷体_GB2312" w:hAnsi="楷体_GB2312" w:eastAsia="楷体_GB2312"/>
                <w:b w:val="0"/>
                <w:sz w:val="24"/>
              </w:rPr>
              <w:t>0.59秒／1.30%</w:t>
            </w:r>
          </w:p>
        </w:tc>
        <w:tc>
          <w:tcPr>
            <w:tcW w:type="dxa" w:w="1928"/>
            <w:tcMar>
              <w:top w:w="80" w:type="dxa"/>
              <w:bottom w:w="80" w:type="dxa"/>
              <w:left w:w="80" w:type="dxa"/>
              <w:right w:w="80" w:type="dxa"/>
            </w:tcMar>
          </w:tcPr>
          <w:p>
            <w:pPr>
              <w:keepNext/>
              <w:spacing w:before="80" w:after="80" w:line="276" w:lineRule="auto"/>
            </w:pPr>
            <w:r>
              <w:rPr>
                <w:rFonts w:ascii="楷体_GB2312" w:hAnsi="楷体_GB2312" w:eastAsia="楷体_GB2312"/>
                <w:b w:val="0"/>
                <w:sz w:val="24"/>
              </w:rPr>
              <w:t>44d66a02</w:t>
            </w:r>
          </w:p>
        </w:tc>
      </w:tr>
      <w:tr>
        <w:trPr>
          <w:cantSplit/>
        </w:trPr>
        <w:tc>
          <w:tcPr>
            <w:tcW w:type="dxa" w:w="1361"/>
            <w:tcMar>
              <w:top w:w="80" w:type="dxa"/>
              <w:bottom w:w="80" w:type="dxa"/>
              <w:left w:w="80" w:type="dxa"/>
              <w:right w:w="80" w:type="dxa"/>
            </w:tcMar>
          </w:tcPr>
          <w:p>
            <w:pPr>
              <w:keepNext/>
              <w:spacing w:before="80" w:after="80" w:line="276" w:lineRule="auto"/>
            </w:pPr>
            <w:r>
              <w:rPr>
                <w:rFonts w:ascii="楷体_GB2312" w:hAnsi="楷体_GB2312" w:eastAsia="楷体_GB2312"/>
                <w:b w:val="0"/>
                <w:sz w:val="24"/>
              </w:rPr>
              <w:t>300／150</w:t>
            </w:r>
          </w:p>
        </w:tc>
        <w:tc>
          <w:tcPr>
            <w:tcW w:type="dxa" w:w="907"/>
            <w:tcMar>
              <w:top w:w="80" w:type="dxa"/>
              <w:bottom w:w="80" w:type="dxa"/>
              <w:left w:w="80" w:type="dxa"/>
              <w:right w:w="80" w:type="dxa"/>
            </w:tcMar>
          </w:tcPr>
          <w:p>
            <w:pPr>
              <w:keepNext/>
              <w:spacing w:before="80" w:after="80" w:line="276" w:lineRule="auto"/>
            </w:pPr>
            <w:r>
              <w:rPr>
                <w:rFonts w:ascii="楷体_GB2312" w:hAnsi="楷体_GB2312" w:eastAsia="楷体_GB2312"/>
                <w:b w:val="0"/>
                <w:sz w:val="24"/>
              </w:rPr>
              <w:t>10</w:t>
            </w:r>
          </w:p>
        </w:tc>
        <w:tc>
          <w:tcPr>
            <w:tcW w:type="dxa" w:w="1361"/>
            <w:tcMar>
              <w:top w:w="80" w:type="dxa"/>
              <w:bottom w:w="80" w:type="dxa"/>
              <w:left w:w="80" w:type="dxa"/>
              <w:right w:w="80" w:type="dxa"/>
            </w:tcMar>
          </w:tcPr>
          <w:p>
            <w:pPr>
              <w:keepNext/>
              <w:spacing w:before="80" w:after="80" w:line="276" w:lineRule="auto"/>
            </w:pPr>
            <w:r>
              <w:rPr>
                <w:rFonts w:ascii="楷体_GB2312" w:hAnsi="楷体_GB2312" w:eastAsia="楷体_GB2312"/>
                <w:b w:val="0"/>
                <w:sz w:val="24"/>
              </w:rPr>
              <w:t>84.90</w:t>
            </w:r>
          </w:p>
        </w:tc>
        <w:tc>
          <w:tcPr>
            <w:tcW w:type="dxa" w:w="1361"/>
            <w:tcMar>
              <w:top w:w="80" w:type="dxa"/>
              <w:bottom w:w="80" w:type="dxa"/>
              <w:left w:w="80" w:type="dxa"/>
              <w:right w:w="80" w:type="dxa"/>
            </w:tcMar>
          </w:tcPr>
          <w:p>
            <w:pPr>
              <w:keepNext/>
              <w:spacing w:before="80" w:after="80" w:line="276" w:lineRule="auto"/>
            </w:pPr>
            <w:r>
              <w:rPr>
                <w:rFonts w:ascii="楷体_GB2312" w:hAnsi="楷体_GB2312" w:eastAsia="楷体_GB2312"/>
                <w:b w:val="0"/>
                <w:sz w:val="24"/>
              </w:rPr>
              <w:t>84.43</w:t>
            </w:r>
          </w:p>
        </w:tc>
        <w:tc>
          <w:tcPr>
            <w:tcW w:type="dxa" w:w="2381"/>
            <w:tcMar>
              <w:top w:w="80" w:type="dxa"/>
              <w:bottom w:w="80" w:type="dxa"/>
              <w:left w:w="80" w:type="dxa"/>
              <w:right w:w="80" w:type="dxa"/>
            </w:tcMar>
          </w:tcPr>
          <w:p>
            <w:pPr>
              <w:keepNext/>
              <w:spacing w:before="80" w:after="80" w:line="276" w:lineRule="auto"/>
            </w:pPr>
            <w:r>
              <w:rPr>
                <w:rFonts w:ascii="楷体_GB2312" w:hAnsi="楷体_GB2312" w:eastAsia="楷体_GB2312"/>
                <w:b w:val="0"/>
                <w:sz w:val="24"/>
              </w:rPr>
              <w:t>0.10秒／0.12%</w:t>
            </w:r>
          </w:p>
        </w:tc>
        <w:tc>
          <w:tcPr>
            <w:tcW w:type="dxa" w:w="1928"/>
            <w:tcMar>
              <w:top w:w="80" w:type="dxa"/>
              <w:bottom w:w="80" w:type="dxa"/>
              <w:left w:w="80" w:type="dxa"/>
              <w:right w:w="80" w:type="dxa"/>
            </w:tcMar>
          </w:tcPr>
          <w:p>
            <w:pPr>
              <w:keepNext/>
              <w:spacing w:before="80" w:after="80" w:line="276" w:lineRule="auto"/>
            </w:pPr>
            <w:r>
              <w:rPr>
                <w:rFonts w:ascii="楷体_GB2312" w:hAnsi="楷体_GB2312" w:eastAsia="楷体_GB2312"/>
                <w:b w:val="0"/>
                <w:sz w:val="24"/>
              </w:rPr>
              <w:t>44d66a02</w:t>
            </w:r>
          </w:p>
        </w:tc>
      </w:tr>
      <w:tr>
        <w:trPr>
          <w:cantSplit/>
        </w:trPr>
        <w:tc>
          <w:tcPr>
            <w:tcW w:type="dxa" w:w="1361"/>
            <w:tcMar>
              <w:top w:w="80" w:type="dxa"/>
              <w:bottom w:w="80" w:type="dxa"/>
              <w:left w:w="80" w:type="dxa"/>
              <w:right w:w="80" w:type="dxa"/>
            </w:tcMar>
          </w:tcPr>
          <w:p>
            <w:pPr>
              <w:spacing w:before="80" w:after="80" w:line="276" w:lineRule="auto"/>
            </w:pPr>
            <w:r>
              <w:rPr>
                <w:rFonts w:ascii="楷体_GB2312" w:hAnsi="楷体_GB2312" w:eastAsia="楷体_GB2312"/>
                <w:b w:val="0"/>
                <w:sz w:val="24"/>
              </w:rPr>
              <w:t>900／450</w:t>
            </w:r>
          </w:p>
        </w:tc>
        <w:tc>
          <w:tcPr>
            <w:tcW w:type="dxa" w:w="907"/>
            <w:tcMar>
              <w:top w:w="80" w:type="dxa"/>
              <w:bottom w:w="80" w:type="dxa"/>
              <w:left w:w="80" w:type="dxa"/>
              <w:right w:w="80" w:type="dxa"/>
            </w:tcMar>
          </w:tcPr>
          <w:p>
            <w:pPr>
              <w:spacing w:before="80" w:after="80" w:line="276" w:lineRule="auto"/>
            </w:pPr>
            <w:r>
              <w:rPr>
                <w:rFonts w:ascii="楷体_GB2312" w:hAnsi="楷体_GB2312" w:eastAsia="楷体_GB2312"/>
                <w:b w:val="0"/>
                <w:sz w:val="24"/>
              </w:rPr>
              <w:t>5</w:t>
            </w:r>
          </w:p>
        </w:tc>
        <w:tc>
          <w:tcPr>
            <w:tcW w:type="dxa" w:w="1361"/>
            <w:tcMar>
              <w:top w:w="80" w:type="dxa"/>
              <w:bottom w:w="80" w:type="dxa"/>
              <w:left w:w="80" w:type="dxa"/>
              <w:right w:w="80" w:type="dxa"/>
            </w:tcMar>
          </w:tcPr>
          <w:p>
            <w:pPr>
              <w:spacing w:before="80" w:after="80" w:line="276" w:lineRule="auto"/>
            </w:pPr>
            <w:r>
              <w:rPr>
                <w:rFonts w:ascii="楷体_GB2312" w:hAnsi="楷体_GB2312" w:eastAsia="楷体_GB2312"/>
                <w:b w:val="0"/>
                <w:sz w:val="24"/>
              </w:rPr>
              <w:t>215.90</w:t>
            </w:r>
          </w:p>
        </w:tc>
        <w:tc>
          <w:tcPr>
            <w:tcW w:type="dxa" w:w="1361"/>
            <w:tcMar>
              <w:top w:w="80" w:type="dxa"/>
              <w:bottom w:w="80" w:type="dxa"/>
              <w:left w:w="80" w:type="dxa"/>
              <w:right w:w="80" w:type="dxa"/>
            </w:tcMar>
          </w:tcPr>
          <w:p>
            <w:pPr>
              <w:spacing w:before="80" w:after="80" w:line="276" w:lineRule="auto"/>
            </w:pPr>
            <w:r>
              <w:rPr>
                <w:rFonts w:ascii="楷体_GB2312" w:hAnsi="楷体_GB2312" w:eastAsia="楷体_GB2312"/>
                <w:b w:val="0"/>
                <w:sz w:val="24"/>
              </w:rPr>
              <w:t>215.84</w:t>
            </w:r>
          </w:p>
        </w:tc>
        <w:tc>
          <w:tcPr>
            <w:tcW w:type="dxa" w:w="2381"/>
            <w:tcMar>
              <w:top w:w="80" w:type="dxa"/>
              <w:bottom w:w="80" w:type="dxa"/>
              <w:left w:w="80" w:type="dxa"/>
              <w:right w:w="80" w:type="dxa"/>
            </w:tcMar>
          </w:tcPr>
          <w:p>
            <w:pPr>
              <w:spacing w:before="80" w:after="80" w:line="276" w:lineRule="auto"/>
            </w:pPr>
            <w:r>
              <w:rPr>
                <w:rFonts w:ascii="楷体_GB2312" w:hAnsi="楷体_GB2312" w:eastAsia="楷体_GB2312"/>
                <w:b w:val="0"/>
                <w:sz w:val="24"/>
              </w:rPr>
              <w:t>0.26秒／0.12%</w:t>
            </w:r>
          </w:p>
        </w:tc>
        <w:tc>
          <w:tcPr>
            <w:tcW w:type="dxa" w:w="1928"/>
            <w:tcMar>
              <w:top w:w="80" w:type="dxa"/>
              <w:bottom w:w="80" w:type="dxa"/>
              <w:left w:w="80" w:type="dxa"/>
              <w:right w:w="80" w:type="dxa"/>
            </w:tcMar>
          </w:tcPr>
          <w:p>
            <w:pPr>
              <w:spacing w:before="80" w:after="80" w:line="276" w:lineRule="auto"/>
            </w:pPr>
            <w:r>
              <w:rPr>
                <w:rFonts w:ascii="楷体_GB2312" w:hAnsi="楷体_GB2312" w:eastAsia="楷体_GB2312"/>
                <w:b w:val="0"/>
                <w:sz w:val="24"/>
              </w:rPr>
              <w:t>7bdcf87e</w:t>
            </w:r>
          </w:p>
        </w:tc>
      </w:tr>
    </w:tbl>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
      </w:r>
    </w:p>
    <w:p w14:paraId="32AAE786">
      <w:pPr>
        <w:keepNext/>
        <w:widowControl/>
        <w:adjustRightInd w:val="0"/>
        <w:snapToGrid w:val="0"/>
        <w:spacing w:line="240" w:lineRule="auto" w:after="80"/>
        <w:ind w:firstLine="0"/>
        <w:jc w:val="center"/>
        <w:rPr>
          <w:rFonts w:ascii="楷体_GB2312" w:hAnsi="Times New Roman" w:eastAsia="楷体_GB2312"/>
          <w:bCs/>
          <w:sz w:val="28"/>
          <w:szCs w:val="28"/>
        </w:rPr>
      </w:pPr>
      <w:r>
        <w:rPr>
          <w:rFonts w:hint="eastAsia" w:ascii="楷体_GB2312" w:hAnsi="Times New Roman" w:eastAsia="楷体_GB2312"/>
          <w:bCs/>
          <w:sz w:val="28"/>
          <w:szCs w:val="28"/>
        </w:rPr>
        <w:t/>
      </w:r>
      <w:r>
        <w:drawing>
          <wp:inline xmlns:a="http://schemas.openxmlformats.org/drawingml/2006/main" xmlns:pic="http://schemas.openxmlformats.org/drawingml/2006/picture">
            <wp:extent cx="5940000" cy="3047990"/>
            <wp:docPr id="7" name="Picture 7"/>
            <wp:cNvGraphicFramePr>
              <a:graphicFrameLocks noChangeAspect="1"/>
            </wp:cNvGraphicFramePr>
            <a:graphic>
              <a:graphicData uri="http://schemas.openxmlformats.org/drawingml/2006/picture">
                <pic:pic>
                  <pic:nvPicPr>
                    <pic:cNvPr id="0" name="performance.png"/>
                    <pic:cNvPicPr/>
                  </pic:nvPicPr>
                  <pic:blipFill>
                    <a:blip r:embed="rId14"/>
                    <a:stretch>
                      <a:fillRect/>
                    </a:stretch>
                  </pic:blipFill>
                  <pic:spPr>
                    <a:xfrm>
                      <a:off x="0" y="0"/>
                      <a:ext cx="5940000" cy="3047990"/>
                    </a:xfrm>
                    <a:prstGeom prst="rect"/>
                  </pic:spPr>
                </pic:pic>
              </a:graphicData>
            </a:graphic>
          </wp:inline>
        </w:drawing>
      </w:r>
    </w:p>
    <w:p w14:paraId="32AAE786">
      <w:pPr>
        <w:widowControl/>
        <w:adjustRightInd w:val="0"/>
        <w:snapToGrid w:val="0"/>
        <w:spacing w:line="480" w:lineRule="exact" w:after="80"/>
        <w:ind w:firstLine="0"/>
        <w:jc w:val="center"/>
        <w:rPr>
          <w:rFonts w:ascii="楷体_GB2312" w:hAnsi="Times New Roman" w:eastAsia="楷体_GB2312"/>
          <w:bCs/>
          <w:sz w:val="28"/>
          <w:szCs w:val="28"/>
        </w:rPr>
      </w:pPr>
      <w:r>
        <w:rPr>
          <w:rFonts w:hint="eastAsia" w:ascii="楷体_GB2312" w:hAnsi="Times New Roman" w:eastAsia="楷体_GB2312"/>
          <w:bCs/>
          <w:sz w:val="24"/>
          <w:szCs w:val="28"/>
        </w:rPr>
        <w:t>图5 同条件成对实验的端到端耗时（各组构建版本见表）</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主配置300输入、150授权点的保护组中位耗时84.90秒，10次正式任务均满足180秒目标；</w:t>
      </w:r>
      <w:r>
        <w:rPr>
          <w:rFonts w:hint="eastAsia" w:ascii="楷体_GB2312" w:hAnsi="Times New Roman" w:eastAsia="楷体_GB2312"/>
          <w:bCs/>
          <w:sz w:val="28"/>
          <w:szCs w:val="28"/>
          <w:b/>
        </w:rPr>
        <w:t>相对C0，逐对开销增量中位数为0.10秒、约0.12%</w:t>
      </w:r>
      <w:r>
        <w:rPr>
          <w:rFonts w:hint="eastAsia" w:ascii="楷体_GB2312" w:hAnsi="Times New Roman" w:eastAsia="楷体_GB2312"/>
          <w:bCs/>
          <w:sz w:val="28"/>
          <w:szCs w:val="28"/>
        </w:rPr>
        <w:t>，说明该配置以很小的实测增量接入发布保护。全部20对正式样本完成，含20次保护组和20次对照组；计入预热共52次成功REAL任务、832个独立核对窗口。正式、预热、配置变更与历次尝试分别归档，效率结果可回查。</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实验采用同机串行配对，组内版本与配置一致，跨规模构建按表标明。逐对增量先计算每对样本差值再取中位数，与两组中位数直接相减的口径不同；0.12%的比较对象为C0密态系统。明确的对照、计时边界和版本记录，使低增量开销的结论有具体测量依据。</w:t>
      </w:r>
    </w:p>
    <w:p w14:paraId="2734E110">
      <w:pPr>
        <w:pStyle w:val="3"/>
        <w:keepNext/>
        <w:spacing w:before="160" w:after="120" w:line="360" w:lineRule="auto"/>
        <w:rPr>
          <w:rFonts w:ascii="Times New Roman" w:hAnsi="Times New Roman" w:eastAsia="黑体" w:cs="Times New Roman"/>
          <w:sz w:val="28"/>
          <w:szCs w:val="28"/>
        </w:rPr>
      </w:pPr>
      <w:r>
        <w:rPr>
          <w:rFonts w:ascii="Times New Roman" w:hAnsi="Times New Roman" w:eastAsia="黑体" w:cs="Times New Roman"/>
          <w:sz w:val="28"/>
          <w:szCs w:val="28"/>
        </w:rPr>
        <w:t>3.5 可追溯的数据与复验材料</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数据来源与处理记录使规模验证可以复验。UCI ElectricityLoadDiagrams20112014提供公开客户负荷读数[10]，系统保存许可、原文件摘要、时区及整数化记录。合成负荷使用固定规则，密码运算使用独立安全随机量；逐户读数、名册和恢复秘密分别按角色管理，复验不改变源侧职责。</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支撑材料将指标、图表与实验记录连在一起：作品编号下保存图表输入、分版本验证、公开签名证据、界面、源码及运行说明，索引标明路径、SHA-256、版本和报告位置。评审可由业务指标追溯签名输入，由性能汇总回查配置样本，核验过程有清晰入口。标准算法与开源实现均保留来源。</w:t>
      </w:r>
    </w:p>
    <w:p w14:paraId="56B14FEB">
      <w:pPr>
        <w:pStyle w:val="2"/>
        <w:keepNext/>
        <w:spacing w:before="240" w:after="120" w:line="360" w:lineRule="auto"/>
        <w:rPr>
          <w:rFonts w:hint="eastAsia" w:ascii="华文楷体" w:hAnsi="华文楷体" w:eastAsia="华文楷体"/>
          <w:sz w:val="30"/>
          <w:szCs w:val="30"/>
        </w:rPr>
      </w:pPr>
      <w:r>
        <w:rPr>
          <w:rFonts w:hint="eastAsia" w:ascii="华文楷体" w:hAnsi="华文楷体" w:eastAsia="华文楷体"/>
          <w:sz w:val="30"/>
          <w:szCs w:val="30"/>
        </w:rPr>
        <w:t>4 应用前景</w:t>
      </w:r>
    </w:p>
    <w:p w14:paraId="2734E110">
      <w:pPr>
        <w:pStyle w:val="3"/>
        <w:keepNext/>
        <w:spacing w:before="160" w:after="120" w:line="360" w:lineRule="auto"/>
        <w:rPr>
          <w:rFonts w:ascii="Times New Roman" w:hAnsi="Times New Roman" w:eastAsia="黑体" w:cs="Times New Roman"/>
          <w:sz w:val="28"/>
          <w:szCs w:val="28"/>
        </w:rPr>
      </w:pPr>
      <w:r>
        <w:rPr>
          <w:rFonts w:ascii="Times New Roman" w:hAnsi="Times New Roman" w:eastAsia="黑体" w:cs="Times New Roman"/>
          <w:sz w:val="28"/>
          <w:szCs w:val="28"/>
        </w:rPr>
        <w:t>4.1 国家政策需求与技术价值</w:t>
      </w:r>
    </w:p>
    <w:tbl>
      <w:tblPr>
        <w:tblW w:type="auto" w:w="0"/>
        <w:tblLayout w:type="fixed"/>
        <w:tblLook w:firstColumn="1" w:firstRow="1" w:lastColumn="0" w:lastRow="0" w:noHBand="0" w:noVBand="1" w:val="04A0"/>
        <w:tblBorders>
          <w:top w:val="single" w:sz="4" w:color="BFC9D0"/>
          <w:bottom w:val="single" w:sz="4" w:color="BFC9D0"/>
          <w:left w:val="single" w:sz="4" w:color="BFC9D0"/>
          <w:right w:val="single" w:sz="4" w:color="BFC9D0"/>
          <w:insideH w:val="single" w:sz="4" w:color="BFC9D0"/>
          <w:insideV w:val="single" w:sz="4" w:color="BFC9D0"/>
        </w:tblBorders>
      </w:tblPr>
      <w:tblGrid>
        <w:gridCol w:w="2041"/>
        <w:gridCol w:w="4139"/>
        <w:gridCol w:w="3118"/>
      </w:tblGrid>
      <w:tr>
        <w:trPr>
          <w:cantSplit/>
          <w:tblHeader/>
        </w:trPr>
        <w:tc>
          <w:tcPr>
            <w:tcW w:type="dxa" w:w="2041"/>
            <w:tcMar>
              <w:top w:w="80" w:type="dxa"/>
              <w:bottom w:w="80" w:type="dxa"/>
              <w:left w:w="80" w:type="dxa"/>
              <w:right w:w="80" w:type="dxa"/>
            </w:tcMar>
          </w:tcPr>
          <w:p>
            <w:pPr>
              <w:keepNext/>
              <w:spacing w:before="80" w:after="80" w:line="276" w:lineRule="auto"/>
            </w:pPr>
            <w:r>
              <w:rPr>
                <w:rFonts w:ascii="楷体_GB2312" w:hAnsi="楷体_GB2312" w:eastAsia="楷体_GB2312"/>
                <w:b/>
                <w:sz w:val="24"/>
              </w:rPr>
              <w:t>政策与行业任务</w:t>
            </w:r>
          </w:p>
        </w:tc>
        <w:tc>
          <w:tcPr>
            <w:tcW w:type="dxa" w:w="4139"/>
            <w:tcMar>
              <w:top w:w="80" w:type="dxa"/>
              <w:bottom w:w="80" w:type="dxa"/>
              <w:left w:w="80" w:type="dxa"/>
              <w:right w:w="80" w:type="dxa"/>
            </w:tcMar>
          </w:tcPr>
          <w:p>
            <w:pPr>
              <w:keepNext/>
              <w:spacing w:before="80" w:after="80" w:line="276" w:lineRule="auto"/>
            </w:pPr>
            <w:r>
              <w:rPr>
                <w:rFonts w:ascii="楷体_GB2312" w:hAnsi="楷体_GB2312" w:eastAsia="楷体_GB2312"/>
                <w:b/>
                <w:sz w:val="24"/>
              </w:rPr>
              <w:t>对数据处理的需求</w:t>
            </w:r>
          </w:p>
        </w:tc>
        <w:tc>
          <w:tcPr>
            <w:tcW w:type="dxa" w:w="3118"/>
            <w:tcMar>
              <w:top w:w="80" w:type="dxa"/>
              <w:bottom w:w="80" w:type="dxa"/>
              <w:left w:w="80" w:type="dxa"/>
              <w:right w:w="80" w:type="dxa"/>
            </w:tcMar>
          </w:tcPr>
          <w:p>
            <w:pPr>
              <w:keepNext/>
              <w:spacing w:before="80" w:after="80" w:line="276" w:lineRule="auto"/>
            </w:pPr>
            <w:r>
              <w:rPr>
                <w:rFonts w:ascii="楷体_GB2312" w:hAnsi="楷体_GB2312" w:eastAsia="楷体_GB2312"/>
                <w:b/>
                <w:sz w:val="24"/>
              </w:rPr>
              <w:t>本作品的技术落点</w:t>
            </w:r>
          </w:p>
        </w:tc>
      </w:tr>
      <w:tr>
        <w:trPr>
          <w:cantSplit/>
        </w:trPr>
        <w:tc>
          <w:tcPr>
            <w:tcW w:type="dxa" w:w="2041"/>
            <w:tcMar>
              <w:top w:w="80" w:type="dxa"/>
              <w:bottom w:w="80" w:type="dxa"/>
              <w:left w:w="80" w:type="dxa"/>
              <w:right w:w="80" w:type="dxa"/>
            </w:tcMar>
          </w:tcPr>
          <w:p>
            <w:pPr>
              <w:keepNext/>
              <w:spacing w:before="80" w:after="80" w:line="276" w:lineRule="auto"/>
            </w:pPr>
            <w:r>
              <w:rPr>
                <w:rFonts w:ascii="楷体_GB2312" w:hAnsi="楷体_GB2312" w:eastAsia="楷体_GB2312"/>
                <w:b w:val="0"/>
                <w:sz w:val="24"/>
              </w:rPr>
              <w:t>新型电网平台与主配微协同[1]</w:t>
            </w:r>
          </w:p>
        </w:tc>
        <w:tc>
          <w:tcPr>
            <w:tcW w:type="dxa" w:w="4139"/>
            <w:tcMar>
              <w:top w:w="80" w:type="dxa"/>
              <w:bottom w:w="80" w:type="dxa"/>
              <w:left w:w="80" w:type="dxa"/>
              <w:right w:w="80" w:type="dxa"/>
            </w:tcMar>
          </w:tcPr>
          <w:p>
            <w:pPr>
              <w:keepNext/>
              <w:spacing w:before="80" w:after="80" w:line="276" w:lineRule="auto"/>
            </w:pPr>
            <w:r>
              <w:rPr>
                <w:rFonts w:ascii="楷体_GB2312" w:hAnsi="楷体_GB2312" w:eastAsia="楷体_GB2312"/>
                <w:b w:val="0"/>
                <w:sz w:val="24"/>
              </w:rPr>
              <w:t>多类负荷按业务范围协同利用</w:t>
            </w:r>
          </w:p>
        </w:tc>
        <w:tc>
          <w:tcPr>
            <w:tcW w:type="dxa" w:w="3118"/>
            <w:tcMar>
              <w:top w:w="80" w:type="dxa"/>
              <w:bottom w:w="80" w:type="dxa"/>
              <w:left w:w="80" w:type="dxa"/>
              <w:right w:w="80" w:type="dxa"/>
            </w:tcMar>
          </w:tcPr>
          <w:p>
            <w:pPr>
              <w:keepNext/>
              <w:spacing w:before="80" w:after="80" w:line="276" w:lineRule="auto"/>
            </w:pPr>
            <w:r>
              <w:rPr>
                <w:rFonts w:ascii="楷体_GB2312" w:hAnsi="楷体_GB2312" w:eastAsia="楷体_GB2312"/>
                <w:b w:val="0"/>
                <w:sz w:val="24"/>
              </w:rPr>
              <w:t>区域、资源类别、时段的细粒度密态统计</w:t>
            </w:r>
          </w:p>
        </w:tc>
      </w:tr>
      <w:tr>
        <w:trPr>
          <w:cantSplit/>
        </w:trPr>
        <w:tc>
          <w:tcPr>
            <w:tcW w:type="dxa" w:w="2041"/>
            <w:tcMar>
              <w:top w:w="80" w:type="dxa"/>
              <w:bottom w:w="80" w:type="dxa"/>
              <w:left w:w="80" w:type="dxa"/>
              <w:right w:w="80" w:type="dxa"/>
            </w:tcMar>
          </w:tcPr>
          <w:p>
            <w:pPr>
              <w:keepNext/>
              <w:spacing w:before="80" w:after="80" w:line="276" w:lineRule="auto"/>
            </w:pPr>
            <w:r>
              <w:rPr>
                <w:rFonts w:ascii="楷体_GB2312" w:hAnsi="楷体_GB2312" w:eastAsia="楷体_GB2312"/>
                <w:b w:val="0"/>
                <w:sz w:val="24"/>
              </w:rPr>
              <w:t>虚拟电厂资源聚合与需求响应[2]</w:t>
            </w:r>
          </w:p>
        </w:tc>
        <w:tc>
          <w:tcPr>
            <w:tcW w:type="dxa" w:w="4139"/>
            <w:tcMar>
              <w:top w:w="80" w:type="dxa"/>
              <w:bottom w:w="80" w:type="dxa"/>
              <w:left w:w="80" w:type="dxa"/>
              <w:right w:w="80" w:type="dxa"/>
            </w:tcMar>
          </w:tcPr>
          <w:p>
            <w:pPr>
              <w:keepNext/>
              <w:spacing w:before="80" w:after="80" w:line="276" w:lineRule="auto"/>
            </w:pPr>
            <w:r>
              <w:rPr>
                <w:rFonts w:ascii="楷体_GB2312" w:hAnsi="楷体_GB2312" w:eastAsia="楷体_GB2312"/>
                <w:b w:val="0"/>
                <w:sz w:val="24"/>
              </w:rPr>
              <w:t>连接分散主体并核对群体负荷变化</w:t>
            </w:r>
          </w:p>
        </w:tc>
        <w:tc>
          <w:tcPr>
            <w:tcW w:type="dxa" w:w="3118"/>
            <w:tcMar>
              <w:top w:w="80" w:type="dxa"/>
              <w:bottom w:w="80" w:type="dxa"/>
              <w:left w:w="80" w:type="dxa"/>
              <w:right w:w="80" w:type="dxa"/>
            </w:tcMar>
          </w:tcPr>
          <w:p>
            <w:pPr>
              <w:keepNext/>
              <w:spacing w:before="80" w:after="80" w:line="276" w:lineRule="auto"/>
            </w:pPr>
            <w:r>
              <w:rPr>
                <w:rFonts w:ascii="楷体_GB2312" w:hAnsi="楷体_GB2312" w:eastAsia="楷体_GB2312"/>
                <w:b w:val="0"/>
                <w:sz w:val="24"/>
              </w:rPr>
              <w:t>多Source协同与四日期响应评估</w:t>
            </w:r>
          </w:p>
        </w:tc>
      </w:tr>
      <w:tr>
        <w:trPr>
          <w:cantSplit/>
        </w:trPr>
        <w:tc>
          <w:tcPr>
            <w:tcW w:type="dxa" w:w="2041"/>
            <w:tcMar>
              <w:top w:w="80" w:type="dxa"/>
              <w:bottom w:w="80" w:type="dxa"/>
              <w:left w:w="80" w:type="dxa"/>
              <w:right w:w="80" w:type="dxa"/>
            </w:tcMar>
          </w:tcPr>
          <w:p>
            <w:pPr>
              <w:keepNext/>
              <w:spacing w:before="80" w:after="80" w:line="276" w:lineRule="auto"/>
            </w:pPr>
            <w:r>
              <w:rPr>
                <w:rFonts w:ascii="楷体_GB2312" w:hAnsi="楷体_GB2312" w:eastAsia="楷体_GB2312"/>
                <w:b w:val="0"/>
                <w:sz w:val="24"/>
              </w:rPr>
              <w:t>可信数据空间建设[3]</w:t>
            </w:r>
          </w:p>
        </w:tc>
        <w:tc>
          <w:tcPr>
            <w:tcW w:type="dxa" w:w="4139"/>
            <w:tcMar>
              <w:top w:w="80" w:type="dxa"/>
              <w:bottom w:w="80" w:type="dxa"/>
              <w:left w:w="80" w:type="dxa"/>
              <w:right w:w="80" w:type="dxa"/>
            </w:tcMar>
          </w:tcPr>
          <w:p>
            <w:pPr>
              <w:keepNext/>
              <w:spacing w:before="80" w:after="80" w:line="276" w:lineRule="auto"/>
            </w:pPr>
            <w:r>
              <w:rPr>
                <w:rFonts w:ascii="楷体_GB2312" w:hAnsi="楷体_GB2312" w:eastAsia="楷体_GB2312"/>
                <w:b w:val="0"/>
                <w:sz w:val="24"/>
              </w:rPr>
              <w:t>身份接入、可信管控与利用过程留证</w:t>
            </w:r>
          </w:p>
        </w:tc>
        <w:tc>
          <w:tcPr>
            <w:tcW w:type="dxa" w:w="3118"/>
            <w:tcMar>
              <w:top w:w="80" w:type="dxa"/>
              <w:bottom w:w="80" w:type="dxa"/>
              <w:left w:w="80" w:type="dxa"/>
              <w:right w:w="80" w:type="dxa"/>
            </w:tcMar>
          </w:tcPr>
          <w:p>
            <w:pPr>
              <w:keepNext/>
              <w:spacing w:before="80" w:after="80" w:line="276" w:lineRule="auto"/>
            </w:pPr>
            <w:r>
              <w:rPr>
                <w:rFonts w:ascii="楷体_GB2312" w:hAnsi="楷体_GB2312" w:eastAsia="楷体_GB2312"/>
                <w:b w:val="0"/>
                <w:sz w:val="24"/>
              </w:rPr>
              <w:t>任务授权、发布规则和签名业务对象关联</w:t>
            </w:r>
          </w:p>
        </w:tc>
      </w:tr>
      <w:tr>
        <w:trPr>
          <w:cantSplit/>
        </w:trPr>
        <w:tc>
          <w:tcPr>
            <w:tcW w:type="dxa" w:w="2041"/>
            <w:tcMar>
              <w:top w:w="80" w:type="dxa"/>
              <w:bottom w:w="80" w:type="dxa"/>
              <w:left w:w="80" w:type="dxa"/>
              <w:right w:w="80" w:type="dxa"/>
            </w:tcMar>
          </w:tcPr>
          <w:p>
            <w:pPr>
              <w:spacing w:before="80" w:after="80" w:line="276" w:lineRule="auto"/>
            </w:pPr>
            <w:r>
              <w:rPr>
                <w:rFonts w:ascii="楷体_GB2312" w:hAnsi="楷体_GB2312" w:eastAsia="楷体_GB2312"/>
                <w:b w:val="0"/>
                <w:sz w:val="24"/>
              </w:rPr>
              <w:t>能源行业数据安全管理[4]</w:t>
            </w:r>
          </w:p>
        </w:tc>
        <w:tc>
          <w:tcPr>
            <w:tcW w:type="dxa" w:w="4139"/>
            <w:tcMar>
              <w:top w:w="80" w:type="dxa"/>
              <w:bottom w:w="80" w:type="dxa"/>
              <w:left w:w="80" w:type="dxa"/>
              <w:right w:w="80" w:type="dxa"/>
            </w:tcMar>
          </w:tcPr>
          <w:p>
            <w:pPr>
              <w:spacing w:before="80" w:after="80" w:line="276" w:lineRule="auto"/>
            </w:pPr>
            <w:r>
              <w:rPr>
                <w:rFonts w:ascii="楷体_GB2312" w:hAnsi="楷体_GB2312" w:eastAsia="楷体_GB2312"/>
                <w:b w:val="0"/>
                <w:sz w:val="24"/>
              </w:rPr>
              <w:t>全流程保护、最小授权与调用记录</w:t>
            </w:r>
          </w:p>
        </w:tc>
        <w:tc>
          <w:tcPr>
            <w:tcW w:type="dxa" w:w="3118"/>
            <w:tcMar>
              <w:top w:w="80" w:type="dxa"/>
              <w:bottom w:w="80" w:type="dxa"/>
              <w:left w:w="80" w:type="dxa"/>
              <w:right w:w="80" w:type="dxa"/>
            </w:tcMar>
          </w:tcPr>
          <w:p>
            <w:pPr>
              <w:spacing w:before="80" w:after="80" w:line="276" w:lineRule="auto"/>
            </w:pPr>
            <w:r>
              <w:rPr>
                <w:rFonts w:ascii="楷体_GB2312" w:hAnsi="楷体_GB2312" w:eastAsia="楷体_GB2312"/>
                <w:b w:val="0"/>
                <w:sz w:val="24"/>
              </w:rPr>
              <w:t>源侧加密、主体权限、密钥管理和审计检查点</w:t>
            </w:r>
          </w:p>
        </w:tc>
      </w:tr>
    </w:tbl>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可信数据空间发展行动计划（2024—2028年）》提出可信管控、资源交互和价值共创[3]，《能源行业数据安全管理办法（试行）》自2026年7月1日施行，强调分类分级、最小授权及加密、鉴权、校验、审计[4]。本作品把这些方向落实为按范围使用密文、统一控制结果发布和保留业务证据，为能源数据协同提供可操作的密码应用支撑。</w:t>
      </w:r>
    </w:p>
    <w:p w14:paraId="2734E110">
      <w:pPr>
        <w:pStyle w:val="3"/>
        <w:keepNext/>
        <w:spacing w:before="160" w:after="120" w:line="360" w:lineRule="auto"/>
        <w:rPr>
          <w:rFonts w:ascii="Times New Roman" w:hAnsi="Times New Roman" w:eastAsia="黑体" w:cs="Times New Roman"/>
          <w:sz w:val="28"/>
          <w:szCs w:val="28"/>
        </w:rPr>
      </w:pPr>
      <w:r>
        <w:rPr>
          <w:rFonts w:ascii="Times New Roman" w:hAnsi="Times New Roman" w:eastAsia="黑体" w:cs="Times New Roman"/>
          <w:sz w:val="28"/>
          <w:szCs w:val="28"/>
        </w:rPr>
        <w:t>4.2 园区与负荷聚合的应用价值</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对园区运营方，平台把分散读数转化为群体负荷、参考对比与响应指标，支撑对参与规模和事件变化的核对。对负荷聚合服务方，Source、GW、UC提供清晰的数据接入、密文处理和结果使用接口；居民与充电设施场景复用同一套授权、发布流程，使一套密码能力服务多种统计需求。</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数据分工与责任记录是平台的实用价值：Source保留原始读数，网关完成密文聚合，统计使用方取得规则允许的群体结果。业务人员可核查申请方、参与源、数据时段及发布依据；运维人员可管理密码配置、活动密钥、可信登记与程序指纹，使数据利用与持续维护均有明确对象。</w:t>
      </w:r>
    </w:p>
    <w:p w14:paraId="2734E110">
      <w:pPr>
        <w:pStyle w:val="3"/>
        <w:keepNext/>
        <w:spacing w:before="160" w:after="120" w:line="360" w:lineRule="auto"/>
        <w:rPr>
          <w:rFonts w:ascii="Times New Roman" w:hAnsi="Times New Roman" w:eastAsia="黑体" w:cs="Times New Roman"/>
          <w:sz w:val="28"/>
          <w:szCs w:val="28"/>
        </w:rPr>
      </w:pPr>
      <w:r>
        <w:rPr>
          <w:rFonts w:ascii="Times New Roman" w:hAnsi="Times New Roman" w:eastAsia="黑体" w:cs="Times New Roman"/>
          <w:sz w:val="28"/>
          <w:szCs w:val="28"/>
        </w:rPr>
        <w:t>4.3 现有平台接入与场景扩展</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角色化服务与版本化对象使平台可作为现有能源数据系统的群体统计模块。数据持有方配置Source与数据适配，聚合服务方运行GW，授权统计机构配置UC及发布规则，门户读取公开结果和签名证据。接入可围绕园区负荷、需求响应与充电设施展开，按机构范围配置权限、分组和运维职责，复用既有密码流程。</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本机多源进程、完整密码链路、密钥操作、重启恢复和多规模测量，已为接入提供从算法到业务页面的工程基础。新场景可围绕数据接口、机构身份与运维环境适配，继续使用既有签名对象、发布规则和证据核验方式，保留统一的统计与核验逻辑。</w:t>
      </w:r>
    </w:p>
    <w:p w14:paraId="56B14FEB">
      <w:pPr>
        <w:pStyle w:val="2"/>
        <w:keepNext/>
        <w:spacing w:before="240" w:after="120" w:line="360" w:lineRule="auto"/>
        <w:rPr>
          <w:rFonts w:hint="eastAsia" w:ascii="华文楷体" w:hAnsi="华文楷体" w:eastAsia="华文楷体"/>
          <w:sz w:val="30"/>
          <w:szCs w:val="30"/>
        </w:rPr>
      </w:pPr>
      <w:r>
        <w:rPr>
          <w:rFonts w:hint="eastAsia" w:ascii="华文楷体" w:hAnsi="华文楷体" w:eastAsia="华文楷体"/>
          <w:sz w:val="30"/>
          <w:szCs w:val="30"/>
        </w:rPr>
        <w:t>5 结论</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本作品把团队自主PFDAM的细粒度授权能力转化为真实运行的电网数据协同平台。网关在密文上按需聚合，精确结果遵守共享发布规则，任务、回执、统计结果与发布决定保留签名关联；园区评估再从这些输入复算业务指标。密码能力由此贯穿数据使用、结果提供与业务核验。</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作品的优势体现在自主方案、应用完整性与实测效率的结合：授权直接约束计算对象，发布控制以低增量成本接入密态任务，业务指标有签名输入和独立数值核对支撑。多源分工、联合签名、混合通信和密钥管理共同提供运行维护基础，使园区、居民与充电设施能够复用一套可核验的协同统计能力。</w:t>
      </w:r>
    </w:p>
    <w:p w14:paraId="56B14FEB">
      <w:pPr>
        <w:pStyle w:val="2"/>
        <w:keepNext/>
        <w:spacing w:before="240" w:after="120" w:line="360" w:lineRule="auto"/>
        <w:rPr>
          <w:rFonts w:hint="eastAsia" w:ascii="华文楷体" w:hAnsi="华文楷体" w:eastAsia="华文楷体"/>
          <w:sz w:val="30"/>
          <w:szCs w:val="30"/>
        </w:rPr>
      </w:pPr>
      <w:r>
        <w:rPr>
          <w:rFonts w:hint="eastAsia" w:ascii="华文楷体" w:hAnsi="华文楷体" w:eastAsia="华文楷体"/>
          <w:sz w:val="30"/>
          <w:szCs w:val="30"/>
        </w:rPr>
        <w:t>6 参考资料与实现说明</w:t>
      </w:r>
    </w:p>
    <w:p w14:paraId="32AAE786">
      <w:pPr>
        <w:keepLines/>
        <w:widowControl/>
        <w:adjustRightInd w:val="0"/>
        <w:snapToGrid w:val="0"/>
        <w:spacing w:line="276" w:lineRule="auto" w:after="80"/>
        <w:ind w:firstLine="0"/>
        <w:jc w:val="left"/>
        <w:rPr>
          <w:rFonts w:ascii="楷体_GB2312" w:hAnsi="Times New Roman" w:eastAsia="楷体_GB2312"/>
          <w:bCs/>
          <w:sz w:val="28"/>
          <w:szCs w:val="28"/>
        </w:rPr>
      </w:pPr>
      <w:r>
        <w:rPr>
          <w:rFonts w:hint="eastAsia" w:ascii="楷体_GB2312" w:hAnsi="Times New Roman" w:eastAsia="楷体_GB2312"/>
          <w:bCs/>
          <w:sz w:val="22"/>
          <w:szCs w:val="28"/>
        </w:rPr>
        <w:t>[1] 国家发展改革委、国家能源局. 关于促进电网高质量发展的指导意见. 发改能源〔2025〕1710号，2025年12月26日. https://www.nea.gov.cn/20251231/1be7eddc38c74ec09f528c126c9bdb1c/c.html</w:t>
      </w:r>
    </w:p>
    <w:p w14:paraId="32AAE786">
      <w:pPr>
        <w:keepLines/>
        <w:widowControl/>
        <w:adjustRightInd w:val="0"/>
        <w:snapToGrid w:val="0"/>
        <w:spacing w:line="276" w:lineRule="auto" w:after="80"/>
        <w:ind w:firstLine="0"/>
        <w:jc w:val="left"/>
        <w:rPr>
          <w:rFonts w:ascii="楷体_GB2312" w:hAnsi="Times New Roman" w:eastAsia="楷体_GB2312"/>
          <w:bCs/>
          <w:sz w:val="28"/>
          <w:szCs w:val="28"/>
        </w:rPr>
      </w:pPr>
      <w:r>
        <w:rPr>
          <w:rFonts w:hint="eastAsia" w:ascii="楷体_GB2312" w:hAnsi="Times New Roman" w:eastAsia="楷体_GB2312"/>
          <w:bCs/>
          <w:sz w:val="22"/>
          <w:szCs w:val="28"/>
        </w:rPr>
        <w:t>[2] 国家发展改革委、国家能源局. 关于加快推进虚拟电厂发展的指导意见. 发改能源〔2025〕357号，2025年3月25日. https://www.ndrc.gov.cn/xxgk/zcfb/tz/202504/t20250411_1397162.html</w:t>
      </w:r>
    </w:p>
    <w:p w14:paraId="32AAE786">
      <w:pPr>
        <w:keepLines/>
        <w:widowControl/>
        <w:adjustRightInd w:val="0"/>
        <w:snapToGrid w:val="0"/>
        <w:spacing w:line="276" w:lineRule="auto" w:after="80"/>
        <w:ind w:firstLine="0"/>
        <w:jc w:val="left"/>
        <w:rPr>
          <w:rFonts w:ascii="楷体_GB2312" w:hAnsi="Times New Roman" w:eastAsia="楷体_GB2312"/>
          <w:bCs/>
          <w:sz w:val="28"/>
          <w:szCs w:val="28"/>
        </w:rPr>
      </w:pPr>
      <w:r>
        <w:rPr>
          <w:rFonts w:hint="eastAsia" w:ascii="楷体_GB2312" w:hAnsi="Times New Roman" w:eastAsia="楷体_GB2312"/>
          <w:bCs/>
          <w:sz w:val="22"/>
          <w:szCs w:val="28"/>
        </w:rPr>
        <w:t>[3] 国家数据局. 可信数据空间发展行动计划（2024—2028年）. 国数资源〔2024〕119号，2024年11月21日. https://www.nda.gov.cn/sjj/zwgk/zcfb/1122/20241122164142182915964_mobile.html</w:t>
      </w:r>
    </w:p>
    <w:p w14:paraId="32AAE786">
      <w:pPr>
        <w:keepLines/>
        <w:widowControl/>
        <w:adjustRightInd w:val="0"/>
        <w:snapToGrid w:val="0"/>
        <w:spacing w:line="276" w:lineRule="auto" w:after="80"/>
        <w:ind w:firstLine="0"/>
        <w:jc w:val="left"/>
        <w:rPr>
          <w:rFonts w:ascii="楷体_GB2312" w:hAnsi="Times New Roman" w:eastAsia="楷体_GB2312"/>
          <w:bCs/>
          <w:sz w:val="28"/>
          <w:szCs w:val="28"/>
        </w:rPr>
      </w:pPr>
      <w:r>
        <w:rPr>
          <w:rFonts w:hint="eastAsia" w:ascii="楷体_GB2312" w:hAnsi="Times New Roman" w:eastAsia="楷体_GB2312"/>
          <w:bCs/>
          <w:sz w:val="22"/>
          <w:szCs w:val="28"/>
        </w:rPr>
        <w:t>[4] 国家能源局. 能源行业数据安全管理办法（试行）. 国能发规划规〔2025〕108号，2025年12月8日，2026年7月1日施行. https://www.nea.gov.cn/20251212/f8ee9d3f829641cb9cc4f1e9405e794a/c.html</w:t>
      </w:r>
    </w:p>
    <w:p w14:paraId="32AAE786">
      <w:pPr>
        <w:keepLines/>
        <w:widowControl/>
        <w:adjustRightInd w:val="0"/>
        <w:snapToGrid w:val="0"/>
        <w:spacing w:line="276" w:lineRule="auto" w:after="80"/>
        <w:ind w:firstLine="0"/>
        <w:jc w:val="left"/>
        <w:rPr>
          <w:rFonts w:ascii="楷体_GB2312" w:hAnsi="Times New Roman" w:eastAsia="楷体_GB2312"/>
          <w:bCs/>
          <w:sz w:val="28"/>
          <w:szCs w:val="28"/>
        </w:rPr>
      </w:pPr>
      <w:r>
        <w:rPr>
          <w:rFonts w:hint="eastAsia" w:ascii="楷体_GB2312" w:hAnsi="Times New Roman" w:eastAsia="楷体_GB2312"/>
          <w:bCs/>
          <w:sz w:val="22"/>
          <w:szCs w:val="28"/>
        </w:rPr>
        <w:t>[5] 团队前期PFDAM研究. PFDAM: Privacy-Preserving Fine-Grained Data Aggregation Scheme Supporting Multi-Functionality in Smart Grid. IEEE Internet of Things Journal. DOI: 10.1109/JIOT.2024.3356593.</w:t>
      </w:r>
    </w:p>
    <w:p w14:paraId="32AAE786">
      <w:pPr>
        <w:keepLines/>
        <w:widowControl/>
        <w:adjustRightInd w:val="0"/>
        <w:snapToGrid w:val="0"/>
        <w:spacing w:line="276" w:lineRule="auto" w:after="80"/>
        <w:ind w:firstLine="0"/>
        <w:jc w:val="left"/>
        <w:rPr>
          <w:rFonts w:ascii="楷体_GB2312" w:hAnsi="Times New Roman" w:eastAsia="楷体_GB2312"/>
          <w:bCs/>
          <w:sz w:val="28"/>
          <w:szCs w:val="28"/>
        </w:rPr>
      </w:pPr>
      <w:r>
        <w:rPr>
          <w:rFonts w:hint="eastAsia" w:ascii="楷体_GB2312" w:hAnsi="Times New Roman" w:eastAsia="楷体_GB2312"/>
          <w:bCs/>
          <w:sz w:val="22"/>
          <w:szCs w:val="28"/>
        </w:rPr>
        <w:t>[6] Ma H, Han S, Lei H. Optimized Paillier’s Cryptosystem with Fast Encryption and Decryption. ACSAC 2021. DOI: 10.1145/3485832.3485842.</w:t>
      </w:r>
    </w:p>
    <w:p w14:paraId="32AAE786">
      <w:pPr>
        <w:keepLines/>
        <w:widowControl/>
        <w:adjustRightInd w:val="0"/>
        <w:snapToGrid w:val="0"/>
        <w:spacing w:line="276" w:lineRule="auto" w:after="80"/>
        <w:ind w:firstLine="0"/>
        <w:jc w:val="left"/>
        <w:rPr>
          <w:rFonts w:ascii="楷体_GB2312" w:hAnsi="Times New Roman" w:eastAsia="楷体_GB2312"/>
          <w:bCs/>
          <w:sz w:val="28"/>
          <w:szCs w:val="28"/>
        </w:rPr>
      </w:pPr>
      <w:r>
        <w:rPr>
          <w:rFonts w:hint="eastAsia" w:ascii="楷体_GB2312" w:hAnsi="Times New Roman" w:eastAsia="楷体_GB2312"/>
          <w:bCs/>
          <w:sz w:val="22"/>
          <w:szCs w:val="28"/>
        </w:rPr>
        <w:t>[7] NIST. FIPS 204 Module-Lattice-Based Digital Signature Standard. 2024. https://csrc.nist.gov/pubs/fips/204/final</w:t>
      </w:r>
    </w:p>
    <w:p w14:paraId="32AAE786">
      <w:pPr>
        <w:keepLines/>
        <w:widowControl/>
        <w:adjustRightInd w:val="0"/>
        <w:snapToGrid w:val="0"/>
        <w:spacing w:line="276" w:lineRule="auto" w:after="80"/>
        <w:ind w:firstLine="0"/>
        <w:jc w:val="left"/>
        <w:rPr>
          <w:rFonts w:ascii="楷体_GB2312" w:hAnsi="Times New Roman" w:eastAsia="楷体_GB2312"/>
          <w:bCs/>
          <w:sz w:val="28"/>
          <w:szCs w:val="28"/>
        </w:rPr>
      </w:pPr>
      <w:r>
        <w:rPr>
          <w:rFonts w:hint="eastAsia" w:ascii="楷体_GB2312" w:hAnsi="Times New Roman" w:eastAsia="楷体_GB2312"/>
          <w:bCs/>
          <w:sz w:val="22"/>
          <w:szCs w:val="28"/>
        </w:rPr>
        <w:t>[8] IETF. RFC 10024 Post-Quantum Traditional (PQ/T) Hybrid Key Agreement Mechanisms for TLS 1.3. https://www.rfc-editor.org/rfc/rfc10024.html</w:t>
      </w:r>
    </w:p>
    <w:p w14:paraId="32AAE786">
      <w:pPr>
        <w:keepLines/>
        <w:widowControl/>
        <w:adjustRightInd w:val="0"/>
        <w:snapToGrid w:val="0"/>
        <w:spacing w:line="276" w:lineRule="auto" w:after="80"/>
        <w:ind w:firstLine="0"/>
        <w:jc w:val="left"/>
        <w:rPr>
          <w:rFonts w:ascii="楷体_GB2312" w:hAnsi="Times New Roman" w:eastAsia="楷体_GB2312"/>
          <w:bCs/>
          <w:sz w:val="28"/>
          <w:szCs w:val="28"/>
        </w:rPr>
      </w:pPr>
      <w:r>
        <w:rPr>
          <w:rFonts w:hint="eastAsia" w:ascii="楷体_GB2312" w:hAnsi="Times New Roman" w:eastAsia="楷体_GB2312"/>
          <w:bCs/>
          <w:sz w:val="22"/>
          <w:szCs w:val="28"/>
        </w:rPr>
        <w:t>[9] GB/T 39786-2021 信息安全技术 信息系统密码应用基本要求. https://www.jsmm.gov.cn/u/cms/www/202110/140914053ph6.pdf</w:t>
      </w:r>
    </w:p>
    <w:p w14:paraId="32AAE786">
      <w:pPr>
        <w:keepLines/>
        <w:widowControl/>
        <w:adjustRightInd w:val="0"/>
        <w:snapToGrid w:val="0"/>
        <w:spacing w:line="276" w:lineRule="auto" w:after="80"/>
        <w:ind w:firstLine="0"/>
        <w:jc w:val="left"/>
        <w:rPr>
          <w:rFonts w:ascii="楷体_GB2312" w:hAnsi="Times New Roman" w:eastAsia="楷体_GB2312"/>
          <w:bCs/>
          <w:sz w:val="28"/>
          <w:szCs w:val="28"/>
        </w:rPr>
      </w:pPr>
      <w:r>
        <w:rPr>
          <w:rFonts w:hint="eastAsia" w:ascii="楷体_GB2312" w:hAnsi="Times New Roman" w:eastAsia="楷体_GB2312"/>
          <w:bCs/>
          <w:sz w:val="22"/>
          <w:szCs w:val="28"/>
        </w:rPr>
        <w:t>[10] UCI Machine Learning Repository. ElectricityLoadDiagrams20112014. DOI: 10.24432/C58C86. https://archive.ics.uci.edu/dataset/321/electricityloaddiagrams20112014</w:t>
      </w:r>
    </w:p>
    <w:p w14:paraId="32AAE786">
      <w:pPr>
        <w:widowControl/>
        <w:adjustRightInd w:val="0"/>
        <w:snapToGrid w:val="0"/>
        <w:spacing w:line="480" w:lineRule="exact" w:after="80"/>
        <w:ind w:firstLine="560"/>
        <w:rPr>
          <w:rFonts w:ascii="楷体_GB2312" w:hAnsi="Times New Roman" w:eastAsia="楷体_GB2312"/>
          <w:bCs/>
          <w:sz w:val="28"/>
          <w:szCs w:val="28"/>
        </w:rPr>
      </w:pPr>
      <w:r>
        <w:rPr>
          <w:rFonts w:hint="eastAsia" w:ascii="楷体_GB2312" w:hAnsi="Times New Roman" w:eastAsia="楷体_GB2312"/>
          <w:bCs/>
          <w:sz w:val="28"/>
          <w:szCs w:val="28"/>
        </w:rPr>
        <w:t>PFDAM为团队自主方案，第1章区分前期研究和本次系统实现的贡献。标准密码算法使用OpenSSL、mcl等库，来源与许可证随支撑材料提供。AI工具用于辅助代码、验证脚本和文稿整理；实验数值来自本机实际密码运算与传输记录。</w:t>
      </w:r>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KSOFF9CBECC6">
    <w:panose1 w:val="02010609060101010101"/>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14236616"/>
      <w:docPartObj>
        <w:docPartGallery w:val="autotext"/>
      </w:docPartObj>
    </w:sdtPr>
    <w:sdtEndPr>
      <w:rPr>
        <w:rFonts w:ascii="Times New Roman" w:hAnsi="Times New Roman" w:cs="Times New Roman"/>
      </w:rPr>
    </w:sdtEndPr>
    <w:sdtContent>
      <w:p w14:paraId="212440BD">
        <w:pPr>
          <w:pStyle w:val="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00957">
    <w:pPr>
      <w:pStyle w:val="6"/>
    </w:pPr>
    <w:r>
      <w:rPr>
        <w:rFonts w:hint="eastAsia"/>
      </w:rPr>
      <w:t>全国密码技术竞赛作品设计报告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3B4D"/>
    <w:rsid w:val="0001769F"/>
    <w:rsid w:val="00035012"/>
    <w:rsid w:val="00075049"/>
    <w:rsid w:val="00090885"/>
    <w:rsid w:val="00146555"/>
    <w:rsid w:val="00161B1B"/>
    <w:rsid w:val="00175070"/>
    <w:rsid w:val="00186455"/>
    <w:rsid w:val="00191B02"/>
    <w:rsid w:val="001A47C8"/>
    <w:rsid w:val="001B1DB6"/>
    <w:rsid w:val="001C1D17"/>
    <w:rsid w:val="001C6D92"/>
    <w:rsid w:val="001D3664"/>
    <w:rsid w:val="001E1D13"/>
    <w:rsid w:val="0022689B"/>
    <w:rsid w:val="00256BB7"/>
    <w:rsid w:val="002774FA"/>
    <w:rsid w:val="002822D8"/>
    <w:rsid w:val="002845D6"/>
    <w:rsid w:val="002A4EA5"/>
    <w:rsid w:val="003141E7"/>
    <w:rsid w:val="00332691"/>
    <w:rsid w:val="0034273A"/>
    <w:rsid w:val="0039611F"/>
    <w:rsid w:val="00425721"/>
    <w:rsid w:val="00432817"/>
    <w:rsid w:val="00434101"/>
    <w:rsid w:val="0043470B"/>
    <w:rsid w:val="00466388"/>
    <w:rsid w:val="004F4C94"/>
    <w:rsid w:val="00513A12"/>
    <w:rsid w:val="00517279"/>
    <w:rsid w:val="00547813"/>
    <w:rsid w:val="00554F5D"/>
    <w:rsid w:val="0057300D"/>
    <w:rsid w:val="00574703"/>
    <w:rsid w:val="005822FE"/>
    <w:rsid w:val="0059419A"/>
    <w:rsid w:val="005F7A30"/>
    <w:rsid w:val="00611E07"/>
    <w:rsid w:val="00621AF2"/>
    <w:rsid w:val="00631E26"/>
    <w:rsid w:val="0063657D"/>
    <w:rsid w:val="00664B42"/>
    <w:rsid w:val="0067271A"/>
    <w:rsid w:val="00677002"/>
    <w:rsid w:val="00687301"/>
    <w:rsid w:val="006D30A0"/>
    <w:rsid w:val="006D3B4D"/>
    <w:rsid w:val="006F3184"/>
    <w:rsid w:val="00731E6B"/>
    <w:rsid w:val="00747B59"/>
    <w:rsid w:val="00766607"/>
    <w:rsid w:val="0077465F"/>
    <w:rsid w:val="007817EC"/>
    <w:rsid w:val="007D255F"/>
    <w:rsid w:val="007E6BB3"/>
    <w:rsid w:val="008201D9"/>
    <w:rsid w:val="00830906"/>
    <w:rsid w:val="00845996"/>
    <w:rsid w:val="00847781"/>
    <w:rsid w:val="00863E71"/>
    <w:rsid w:val="008F5F36"/>
    <w:rsid w:val="00903383"/>
    <w:rsid w:val="00934DCF"/>
    <w:rsid w:val="00946FD5"/>
    <w:rsid w:val="009733E4"/>
    <w:rsid w:val="009943D4"/>
    <w:rsid w:val="009A03F1"/>
    <w:rsid w:val="009F6678"/>
    <w:rsid w:val="00A2005F"/>
    <w:rsid w:val="00A21582"/>
    <w:rsid w:val="00A40871"/>
    <w:rsid w:val="00A41124"/>
    <w:rsid w:val="00AA005E"/>
    <w:rsid w:val="00AB58A4"/>
    <w:rsid w:val="00AD1EA7"/>
    <w:rsid w:val="00AF2C1B"/>
    <w:rsid w:val="00AF71EF"/>
    <w:rsid w:val="00AF784B"/>
    <w:rsid w:val="00AF7905"/>
    <w:rsid w:val="00B15194"/>
    <w:rsid w:val="00B40659"/>
    <w:rsid w:val="00B64376"/>
    <w:rsid w:val="00B711FB"/>
    <w:rsid w:val="00B938E4"/>
    <w:rsid w:val="00BC477C"/>
    <w:rsid w:val="00BC5F07"/>
    <w:rsid w:val="00BD2BD8"/>
    <w:rsid w:val="00C15503"/>
    <w:rsid w:val="00C22111"/>
    <w:rsid w:val="00C30983"/>
    <w:rsid w:val="00C33189"/>
    <w:rsid w:val="00C649BD"/>
    <w:rsid w:val="00CB56D2"/>
    <w:rsid w:val="00CC465B"/>
    <w:rsid w:val="00CC620C"/>
    <w:rsid w:val="00CD077A"/>
    <w:rsid w:val="00D22DCE"/>
    <w:rsid w:val="00D3438E"/>
    <w:rsid w:val="00D414A2"/>
    <w:rsid w:val="00D42866"/>
    <w:rsid w:val="00D9024E"/>
    <w:rsid w:val="00DD00B4"/>
    <w:rsid w:val="00DE0776"/>
    <w:rsid w:val="00E219F6"/>
    <w:rsid w:val="00E42F92"/>
    <w:rsid w:val="00E46B6F"/>
    <w:rsid w:val="00E60254"/>
    <w:rsid w:val="00E80179"/>
    <w:rsid w:val="00E966EE"/>
    <w:rsid w:val="00EA59BD"/>
    <w:rsid w:val="00EA77A6"/>
    <w:rsid w:val="00ED492E"/>
    <w:rsid w:val="00EF686B"/>
    <w:rsid w:val="00F81DAA"/>
    <w:rsid w:val="00F84C28"/>
    <w:rsid w:val="00FA04FA"/>
    <w:rsid w:val="00FB1F38"/>
    <w:rsid w:val="00FB7EE9"/>
    <w:rsid w:val="00FD3354"/>
    <w:rsid w:val="00FE0607"/>
    <w:rsid w:val="00FF3324"/>
    <w:rsid w:val="0FAA12E4"/>
    <w:rsid w:val="4C7C2AD2"/>
    <w:rsid w:val="79F71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1"/>
    <w:semiHidden/>
    <w:unhideWhenUsed/>
    <w:uiPriority w:val="99"/>
    <w:rPr>
      <w:sz w:val="18"/>
      <w:szCs w:val="18"/>
    </w:rPr>
  </w:style>
  <w:style w:type="paragraph" w:styleId="5">
    <w:name w:val="footer"/>
    <w:basedOn w:val="1"/>
    <w:link w:val="10"/>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6">
    <w:name w:val="header"/>
    <w:basedOn w:val="1"/>
    <w:link w:val="9"/>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9">
    <w:name w:val="页眉 字符"/>
    <w:basedOn w:val="8"/>
    <w:link w:val="6"/>
    <w:qFormat/>
    <w:uiPriority w:val="99"/>
    <w:rPr>
      <w:sz w:val="18"/>
      <w:szCs w:val="18"/>
    </w:rPr>
  </w:style>
  <w:style w:type="character" w:customStyle="1" w:styleId="10">
    <w:name w:val="页脚 字符"/>
    <w:basedOn w:val="8"/>
    <w:link w:val="5"/>
    <w:uiPriority w:val="99"/>
    <w:rPr>
      <w:sz w:val="18"/>
      <w:szCs w:val="18"/>
    </w:rPr>
  </w:style>
  <w:style w:type="character" w:customStyle="1" w:styleId="11">
    <w:name w:val="批注框文本 字符"/>
    <w:basedOn w:val="8"/>
    <w:link w:val="4"/>
    <w:semiHidden/>
    <w:uiPriority w:val="99"/>
    <w:rPr>
      <w:rFonts w:ascii="Calibri" w:hAnsi="Calibri" w:eastAsia="宋体" w:cs="Times New Roman"/>
      <w:sz w:val="18"/>
      <w:szCs w:val="18"/>
    </w:rPr>
  </w:style>
  <w:style w:type="character" w:customStyle="1" w:styleId="12">
    <w:name w:val="QB正文 Char"/>
    <w:link w:val="13"/>
    <w:uiPriority w:val="0"/>
    <w:rPr>
      <w:rFonts w:ascii="宋体"/>
    </w:rPr>
  </w:style>
  <w:style w:type="paragraph" w:customStyle="1" w:styleId="13">
    <w:name w:val="QB正文"/>
    <w:basedOn w:val="1"/>
    <w:link w:val="12"/>
    <w:qFormat/>
    <w:uiPriority w:val="0"/>
    <w:pPr>
      <w:widowControl/>
      <w:autoSpaceDE w:val="0"/>
      <w:autoSpaceDN w:val="0"/>
      <w:spacing w:line="300" w:lineRule="auto"/>
      <w:ind w:firstLine="200" w:firstLineChars="200"/>
    </w:pPr>
    <w:rPr>
      <w:rFonts w:ascii="宋体" w:hAnsiTheme="minorHAnsi" w:eastAsiaTheme="minorEastAsia" w:cstheme="minorBidi"/>
    </w:rPr>
  </w:style>
  <w:style w:type="paragraph" w:customStyle="1" w:styleId="14">
    <w:name w:val="p15"/>
    <w:basedOn w:val="1"/>
    <w:qFormat/>
    <w:uiPriority w:val="0"/>
    <w:pPr>
      <w:widowControl/>
      <w:ind w:firstLine="420"/>
    </w:pPr>
    <w:rPr>
      <w:rFonts w:ascii="Times New Roman" w:hAnsi="Times New Roman"/>
      <w:kern w:val="0"/>
      <w:szCs w:val="21"/>
    </w:rPr>
  </w:style>
  <w:style w:type="paragraph" w:customStyle="1" w:styleId="15">
    <w:name w:val="p0"/>
    <w:basedOn w:val="1"/>
    <w:uiPriority w:val="0"/>
    <w:pPr>
      <w:widowControl/>
    </w:pPr>
    <w:rPr>
      <w:rFonts w:ascii="Times New Roman" w:hAnsi="Times New Roman"/>
      <w:kern w:val="0"/>
      <w:szCs w:val="21"/>
    </w:rPr>
  </w:style>
  <w:style w:type="character" w:customStyle="1" w:styleId="16">
    <w:name w:val="标题 1 字符"/>
    <w:basedOn w:val="8"/>
    <w:link w:val="2"/>
    <w:uiPriority w:val="9"/>
    <w:rPr>
      <w:rFonts w:ascii="Calibri" w:hAnsi="Calibri" w:eastAsia="宋体" w:cs="Times New Roman"/>
      <w:b/>
      <w:bCs/>
      <w:kern w:val="44"/>
      <w:sz w:val="44"/>
      <w:szCs w:val="44"/>
    </w:rPr>
  </w:style>
  <w:style w:type="character" w:customStyle="1" w:styleId="17">
    <w:name w:val="标题 2 字符"/>
    <w:basedOn w:val="8"/>
    <w:link w:val="3"/>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EFF8F8-817C-46C2-B7C0-7F1D2A20EB12}">
  <ds:schemaRefs/>
</ds:datastoreItem>
</file>

<file path=docProps/app.xml><?xml version="1.0" encoding="utf-8"?>
<Properties xmlns="http://schemas.openxmlformats.org/officeDocument/2006/extended-properties" xmlns:vt="http://schemas.openxmlformats.org/officeDocument/2006/docPropsVTypes">
  <Template>Normal</Template>
  <Company/>
  <Pages>4</Pages>
  <Words>236</Words>
  <Characters>243</Characters>
  <Lines>3</Lines>
  <Paragraphs>1</Paragraphs>
  <TotalTime>24</TotalTime>
  <ScaleCrop>false</ScaleCrop>
  <LinksUpToDate>false</LinksUpToDate>
  <CharactersWithSpaces>309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2019-09-14T06:53:00Z</dcterms:created>
  <dc:creator/>
  <cp:lastModifiedBy/>
  <dcterms:modified xsi:type="dcterms:W3CDTF">2026-09-20T07:09:28Z</dcterms:modified>
  <dc:title>面向新型电网的细粒度密态聚合与可信数据协同平台</dc:title>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2052-12.1.0.28505</vt:lpwstr>
  </property>
  <property fmtid="{D5CDD505-2E9C-101B-9397-08002B2CF9AE}" pid="4" name="KSOTemplateDocerSaveRecord">
    <vt:lpwstr>eyJoZGlkIjoiNWQ5ZDQyNWExM2I5OGFkYzI5NTUwZWI3YjM5NzhlYzciLCJ1c2VySWQiOiIxNTUxNjk3NTg4In0=</vt:lpwstr>
  </property>
  <property fmtid="{D5CDD505-2E9C-101B-9397-08002B2CF9AE}" pid="5" name="ICV">
    <vt:lpwstr>3C07B40A024C48A48B1C0127491CFB76_12</vt:lpwstr>
  </property>
</Properties>
</file>