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0CB2E">
      <w:pPr>
        <w:spacing w:line="360" w:lineRule="auto"/>
        <w:ind w:left="1114" w:hanging="1114" w:hangingChars="398"/>
        <w:jc w:val="left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</w:rPr>
        <w:t>附件</w:t>
      </w:r>
      <w:r>
        <w:rPr>
          <w:rFonts w:ascii="Times New Roman" w:hAnsi="Times New Roman" w:eastAsia="仿宋" w:cs="Times New Roman"/>
          <w:sz w:val="28"/>
          <w:szCs w:val="28"/>
        </w:rPr>
        <w:t>1</w:t>
      </w:r>
      <w:r>
        <w:rPr>
          <w:rFonts w:hint="eastAsia" w:ascii="Times New Roman" w:hAnsi="Times New Roman" w:eastAsia="仿宋" w:cs="Times New Roman"/>
          <w:sz w:val="28"/>
          <w:szCs w:val="28"/>
        </w:rPr>
        <w:t>：</w:t>
      </w:r>
    </w:p>
    <w:p w14:paraId="4C609DEA">
      <w:pPr>
        <w:widowControl/>
        <w:spacing w:line="360" w:lineRule="auto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第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eastAsia="zh-Hans"/>
        </w:rPr>
        <w:t>十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二届中国研究生智慧城市技术与创意设计大赛</w:t>
      </w:r>
      <w:bookmarkStart w:id="0" w:name="_Toc479323112"/>
      <w:bookmarkStart w:id="1" w:name="_Toc479323333"/>
    </w:p>
    <w:p w14:paraId="23A7038F">
      <w:pPr>
        <w:spacing w:line="360" w:lineRule="auto"/>
        <w:ind w:left="210" w:leftChars="100" w:right="210" w:rightChars="100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bookmarkStart w:id="2" w:name="_Toc108088507"/>
      <w:bookmarkStart w:id="3" w:name="_Toc7210846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创意设计赛</w:t>
      </w:r>
      <w:bookmarkEnd w:id="0"/>
      <w:bookmarkEnd w:id="1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项目简表</w:t>
      </w:r>
      <w:bookmarkEnd w:id="2"/>
      <w:bookmarkEnd w:id="3"/>
    </w:p>
    <w:p w14:paraId="5CA8D785">
      <w:pPr>
        <w:widowControl/>
        <w:spacing w:line="360" w:lineRule="auto"/>
        <w:jc w:val="center"/>
        <w:rPr>
          <w:rFonts w:ascii="Times New Roman" w:hAnsi="Times New Roman" w:eastAsia="仿宋" w:cs="Times New Roman"/>
          <w:sz w:val="28"/>
          <w:szCs w:val="36"/>
        </w:rPr>
      </w:pPr>
      <w:r>
        <w:rPr>
          <w:rFonts w:hint="eastAsia" w:ascii="Times New Roman" w:hAnsi="Times New Roman" w:eastAsia="仿宋" w:cs="Times New Roman"/>
          <w:sz w:val="28"/>
          <w:szCs w:val="36"/>
          <w:color w:val="000000"/>
          <w:b/>
        </w:rPr>
        <w:t xml:space="preserve">数智选材</w:t>
      </w:r>
    </w:p>
    <w:tbl>
      <w:tblPr>
        <w:tblStyle w:val="7"/>
        <w:tblW w:w="104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2" w:type="dxa"/>
          <w:left w:w="108" w:type="dxa"/>
          <w:bottom w:w="142" w:type="dxa"/>
          <w:right w:w="108" w:type="dxa"/>
        </w:tblCellMar>
      </w:tblPr>
      <w:tblGrid>
        <w:gridCol w:w="1792"/>
        <w:gridCol w:w="1464"/>
        <w:gridCol w:w="1570"/>
        <w:gridCol w:w="1842"/>
        <w:gridCol w:w="3822"/>
      </w:tblGrid>
      <w:tr w14:paraId="7B78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7CAF9BDA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作品名称</w:t>
            </w:r>
          </w:p>
        </w:tc>
        <w:tc>
          <w:tcPr>
            <w:tcW w:w="8698" w:type="dxa"/>
            <w:gridSpan w:val="4"/>
          </w:tcPr>
          <w:p w14:paraId="5851AF55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color w:val="000000"/>
              </w:rPr>
              <w:t xml:space="preserve">数智选材 道路养护材料推荐与协同设计</w:t>
            </w:r>
          </w:p>
        </w:tc>
      </w:tr>
      <w:tr w14:paraId="6747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605C8C88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团队名称</w:t>
            </w:r>
          </w:p>
        </w:tc>
        <w:tc>
          <w:tcPr>
            <w:tcW w:w="8698" w:type="dxa"/>
            <w:gridSpan w:val="4"/>
          </w:tcPr>
          <w:p w14:paraId="368C5AB2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</w:tr>
      <w:tr w14:paraId="2DE26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2558" w:hRule="atLeast"/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5A5714F5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参赛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lang w:eastAsia="zh-Hans"/>
              </w:rPr>
              <w:t>赛道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/</w:t>
            </w:r>
          </w:p>
          <w:p w14:paraId="781AD66F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赛题</w:t>
            </w:r>
          </w:p>
        </w:tc>
        <w:tc>
          <w:tcPr>
            <w:tcW w:w="8698" w:type="dxa"/>
            <w:gridSpan w:val="4"/>
            <w:vAlign w:val="center"/>
          </w:tcPr>
          <w:p w14:paraId="4FAF87E1">
            <w:pPr>
              <w:widowControl/>
              <w:jc w:val="distribute"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1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.定向赛道-低空经济与空天科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□ 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2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.定向赛道-智慧交通与数字孪生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lang w:val="en-US" w:eastAsia="zh-CN"/>
              </w:rPr>
              <w:t xml:space="preserve">   </w:t>
            </w:r>
            <w:r>
              <w:rPr>
                <w:rFonts w:ascii="Times New Roman" w:hAnsi="Times New Roman" w:eastAsia="仿宋" w:cs="Times New Roman"/>
                <w:kern w:val="0"/>
                <w:sz w:val="24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  </w:t>
            </w:r>
          </w:p>
          <w:p w14:paraId="66DE1D95">
            <w:pPr>
              <w:widowControl/>
              <w:jc w:val="distribute"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3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.定向赛道-智能建造与城市更新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 4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.定向赛道-未来城市与太空人居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  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</w:t>
            </w:r>
          </w:p>
          <w:p w14:paraId="605D67D5">
            <w:pPr>
              <w:widowControl/>
              <w:jc w:val="distribute"/>
              <w:rPr>
                <w:rFonts w:ascii="Times New Roman" w:hAnsi="Times New Roman" w:eastAsia="仿宋" w:cs="Times New Roman"/>
                <w:color w:val="000000"/>
                <w:kern w:val="0"/>
                <w:sz w:val="32"/>
                <w:szCs w:val="21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5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.定向赛道-智慧文旅与乡村振兴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 6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.定向赛道-</w:t>
            </w:r>
            <w:bookmarkStart w:id="4" w:name="OLE_LINK1"/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智慧能源与环境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</w:rPr>
              <w:t xml:space="preserve"> 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lang w:val="en-US" w:eastAsia="zh-CN"/>
              </w:rPr>
              <w:t xml:space="preserve">       </w:t>
            </w:r>
            <w:r>
              <w:rPr>
                <w:rFonts w:ascii="Times New Roman" w:hAnsi="Times New Roman" w:eastAsia="仿宋" w:cs="仿宋"/>
                <w:kern w:val="0"/>
                <w:sz w:val="24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  <w:bookmarkEnd w:id="4"/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32"/>
                <w:szCs w:val="21"/>
              </w:rPr>
              <w:t xml:space="preserve"> </w:t>
            </w:r>
          </w:p>
          <w:p w14:paraId="054581E6">
            <w:pPr>
              <w:widowControl/>
              <w:jc w:val="distribute"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7.</w:t>
            </w:r>
            <w:bookmarkStart w:id="5" w:name="OLE_LINK2"/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定向赛道-</w:t>
            </w:r>
            <w:bookmarkEnd w:id="5"/>
            <w:r>
              <w:rPr>
                <w:rFonts w:hint="eastAsia" w:ascii="Times New Roman" w:hAnsi="Times New Roman" w:eastAsia="仿宋" w:cs="仿宋"/>
                <w:kern w:val="0"/>
                <w:sz w:val="24"/>
              </w:rPr>
              <w:t xml:space="preserve">韧性城市与智慧应急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 8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.定向赛道-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AI与具身智能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</w:rPr>
              <w:t xml:space="preserve">  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lang w:val="en-US" w:eastAsia="zh-CN"/>
              </w:rPr>
              <w:t xml:space="preserve">      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</w:p>
          <w:p w14:paraId="3690E679">
            <w:pPr>
              <w:widowControl/>
              <w:jc w:val="distribute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9.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定向赛道-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>智慧生活与大健康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</w:t>
            </w:r>
            <w:bookmarkStart w:id="6" w:name="OLE_LINK7"/>
            <w:bookmarkStart w:id="7" w:name="OLE_LINK6"/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□ </w:t>
            </w:r>
            <w:bookmarkEnd w:id="6"/>
            <w:bookmarkEnd w:id="7"/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10.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定向赛道-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>城市运维与安全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</w:p>
          <w:p w14:paraId="7CECD00F">
            <w:pPr>
              <w:widowControl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>11.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定向赛道-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>智能材料与绿色建造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□ </w:t>
            </w:r>
          </w:p>
          <w:p w14:paraId="15C10EC3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1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.自由赛道 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            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</w:p>
          <w:p w14:paraId="62D0BAA6">
            <w:pPr>
              <w:widowControl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18"/>
                <w:color w:val="000000"/>
              </w:rPr>
              <w:t xml:space="preserve">13.企业揭榜赛道（已选择，HY-01课题一）</w:t>
            </w:r>
          </w:p>
          <w:p w14:paraId="784F9023">
            <w:pPr>
              <w:widowControl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14.地方特色赛道             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</w:p>
          <w:p w14:paraId="17681D75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</w:p>
          <w:p w14:paraId="50F8344C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</w:p>
          <w:p w14:paraId="4AD74A20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</w:p>
          <w:p w14:paraId="0B304CFD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</w:p>
        </w:tc>
      </w:tr>
      <w:tr w14:paraId="29D2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1D0A8338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队长姓名</w:t>
            </w:r>
          </w:p>
        </w:tc>
        <w:tc>
          <w:tcPr>
            <w:tcW w:w="3034" w:type="dxa"/>
            <w:gridSpan w:val="2"/>
          </w:tcPr>
          <w:p w14:paraId="7D0B2BB1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</w:rPr>
            </w:pPr>
          </w:p>
        </w:tc>
        <w:tc>
          <w:tcPr>
            <w:tcW w:w="1842" w:type="dxa"/>
            <w:shd w:val="clear" w:color="auto" w:fill="E7E6E6"/>
          </w:tcPr>
          <w:p w14:paraId="4622BAB2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队长联系电话</w:t>
            </w:r>
          </w:p>
        </w:tc>
        <w:tc>
          <w:tcPr>
            <w:tcW w:w="3822" w:type="dxa"/>
          </w:tcPr>
          <w:p w14:paraId="68AE79EB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</w:tr>
      <w:tr w14:paraId="7741A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7DA46AC5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团队成员</w:t>
            </w:r>
          </w:p>
        </w:tc>
        <w:tc>
          <w:tcPr>
            <w:tcW w:w="8698" w:type="dxa"/>
            <w:gridSpan w:val="4"/>
          </w:tcPr>
          <w:p w14:paraId="444BB825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</w:tr>
      <w:tr w14:paraId="372E1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restart"/>
            <w:shd w:val="clear" w:color="auto" w:fill="E7E6E6"/>
            <w:vAlign w:val="center"/>
          </w:tcPr>
          <w:p w14:paraId="2838540A">
            <w:pPr>
              <w:widowControl/>
              <w:autoSpaceDN w:val="0"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  <w:keepNext/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报告内容</w:t>
            </w:r>
          </w:p>
          <w:p w14:paraId="252E61EB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  <w:keepNext/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摘要</w:t>
            </w: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4BF3C018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  <w:keepNext/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（</w:t>
            </w:r>
            <w:r>
              <w:rPr>
                <w:rFonts w:ascii="Times New Roman" w:hAnsi="Times New Roman" w:eastAsia="仿宋" w:cs="Times New Roman"/>
                <w:b/>
                <w:kern w:val="0"/>
                <w:sz w:val="24"/>
              </w:rPr>
              <w:t>1</w:t>
            </w: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）项目背景</w:t>
            </w:r>
          </w:p>
        </w:tc>
      </w:tr>
      <w:tr w14:paraId="3639B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2191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1DDCBF85">
            <w:pPr>
              <w:widowControl/>
              <w:autoSpaceDN w:val="0"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</w:p>
        </w:tc>
        <w:tc>
          <w:tcPr>
            <w:tcW w:w="8698" w:type="dxa"/>
            <w:gridSpan w:val="4"/>
          </w:tcPr>
          <w:p w14:paraId="5D31006F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color w:val="000000"/>
              </w:rPr>
              <w:t xml:space="preserve">道路养护方案确定后，工程师还需把气候、荷载和病害要求落实到材料。历史表格提供性能数值，一次选材还要说明要求依据、候选取舍和后续改动。数智选材面向养护与材料工程师，将要求确认、历史材料比较和配方探索组织在同一案例中，使选择有据可查，调整过程便于交接。</w:t>
            </w:r>
          </w:p>
        </w:tc>
      </w:tr>
      <w:tr w14:paraId="5049E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71878284">
            <w:pPr>
              <w:widowControl/>
              <w:autoSpaceDN w:val="0"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  <w:keepNext/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2A572004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  <w:keepNext/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（</w:t>
            </w:r>
            <w:r>
              <w:rPr>
                <w:rFonts w:ascii="Times New Roman" w:hAnsi="Times New Roman" w:eastAsia="仿宋" w:cs="Times New Roman"/>
                <w:b/>
                <w:kern w:val="0"/>
                <w:sz w:val="24"/>
              </w:rPr>
              <w:t>2</w:t>
            </w: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）立项思路</w:t>
            </w:r>
          </w:p>
        </w:tc>
      </w:tr>
      <w:tr w14:paraId="70FF8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2449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C61D152">
            <w:pPr>
              <w:widowControl/>
              <w:autoSpaceDN w:val="0"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</w:p>
        </w:tc>
        <w:tc>
          <w:tcPr>
            <w:tcW w:w="8698" w:type="dxa"/>
            <w:gridSpan w:val="4"/>
          </w:tcPr>
          <w:p w14:paraId="3CF872D3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color w:val="000000"/>
              </w:rPr>
              <w:t xml:space="preserve">作品以企业工作簿为数据基础，把场景要求、多性能取舍和协同设计连接起来。硬要求共同筛选，偏好调整比较顺序，配方变化生成独立草案；空结果按资料状态和选定范围给出核查方向。三类场景规则与五个构造案例，用同池全约束查表核对数值结果，再展示新增的解释与交接步骤。</w:t>
            </w:r>
          </w:p>
        </w:tc>
      </w:tr>
      <w:tr w14:paraId="2391A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E2ED5F1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  <w:keepNext/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75BBE221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  <w:keepNext/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（</w:t>
            </w:r>
            <w:r>
              <w:rPr>
                <w:rFonts w:ascii="Times New Roman" w:hAnsi="Times New Roman" w:eastAsia="仿宋" w:cs="Times New Roman"/>
                <w:b/>
                <w:kern w:val="0"/>
                <w:sz w:val="24"/>
              </w:rPr>
              <w:t>3</w:t>
            </w: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）解决方案</w:t>
            </w:r>
          </w:p>
        </w:tc>
      </w:tr>
      <w:tr w14:paraId="2EAFA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4440148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</w:tcPr>
          <w:p w14:paraId="678E3DA1">
            <w:pPr>
              <w:widowControl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ascii="Times New Roman" w:hAnsi="Times New Roman" w:eastAsia="仿宋" w:cs="Times New Roman"/>
                <w:sz w:val="24"/>
                <w:color w:val="000000"/>
              </w:rPr>
              <w:t xml:space="preserve">导入时保存原值、公式、单位、单元格和版本。工程师确认带出处的要求卡后，系统逐项检查同一历史目录，登记数值可行、已知失败及待补证据。在可行集合中计算非支配关系，按工程师选择的指标顺序比较，并展示原值与要求线。C3有五种非支配方案，切换TSR、残留稳定度或应变优先，可分别先看H、K、R7。C2保留应变并列事实，从R4准确父配方探索油石比4.9%至5.0%的变化；草案保存原需求、锁定项和设计意图，性能以待验证状态登记。C5先核查84条目录的缺测，再在35条完整数值子池中查看四组最小冲突。原型采用React、FastAPI与SQLite，支持JSON和OpenAPI。已有106项Python测试、12项机制检查及14步AI浏览器自测通过。作品论文展开数据、方法、五案和模型计算研究。</w:t>
            </w:r>
          </w:p>
        </w:tc>
      </w:tr>
      <w:tr w14:paraId="5C229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E7A6082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  <w:keepNext/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7F1FAEF0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  <w:keepNext/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（</w:t>
            </w:r>
            <w:r>
              <w:rPr>
                <w:rFonts w:ascii="Times New Roman" w:hAnsi="Times New Roman" w:eastAsia="仿宋" w:cs="Times New Roman"/>
                <w:b/>
                <w:kern w:val="0"/>
                <w:sz w:val="24"/>
              </w:rPr>
              <w:t>4</w:t>
            </w: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）</w:t>
            </w:r>
            <w:r>
              <w:rPr>
                <w:rFonts w:hint="eastAsia" w:ascii="Times New Roman" w:hAnsi="Times New Roman" w:eastAsia="仿宋" w:cs="Times New Roman"/>
                <w:b/>
                <w:sz w:val="24"/>
              </w:rPr>
              <w:t>商业模式和预期效益</w:t>
            </w:r>
          </w:p>
        </w:tc>
      </w:tr>
      <w:tr w14:paraId="7855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4388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5E5D622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</w:tcPr>
          <w:p w14:paraId="1CEEFA71">
            <w:pPr>
              <w:widowControl/>
              <w:rPr>
                <w:rFonts w:ascii="Times New Roman" w:hAnsi="Times New Roman" w:eastAsia="仿宋" w:cs="Times New Roman"/>
                <w:color w:val="595959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color w:val="000000"/>
              </w:rPr>
              <w:t xml:space="preserve">首期服务面向已有试验资料的养护单位、材料研发团队和检测机构，从一个经授权的资料目录和项目要求起步，交付本地软件、数据整理、规则配置及接口文档。试用按真实选材、比较和交接任务验收，记录完成情况、返工与耗时，再决定目录扩展和维护服务。成本与碳排放评价分别接入价格、质量基准及碳因子资料。</w:t>
            </w:r>
          </w:p>
        </w:tc>
      </w:tr>
      <w:tr w14:paraId="5024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restart"/>
            <w:shd w:val="clear" w:color="auto" w:fill="E7E6E6"/>
            <w:vAlign w:val="center"/>
          </w:tcPr>
          <w:p w14:paraId="208F3AE5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作品技术</w:t>
            </w:r>
          </w:p>
          <w:p w14:paraId="5E9AB716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自评价</w:t>
            </w:r>
          </w:p>
        </w:tc>
        <w:tc>
          <w:tcPr>
            <w:tcW w:w="1464" w:type="dxa"/>
            <w:vAlign w:val="center"/>
          </w:tcPr>
          <w:p w14:paraId="2B6B5B04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18"/>
              </w:rPr>
              <w:t>作品所处</w:t>
            </w:r>
          </w:p>
          <w:p w14:paraId="091CD7F2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18"/>
              </w:rPr>
              <w:t>研发阶段：</w:t>
            </w:r>
          </w:p>
        </w:tc>
        <w:tc>
          <w:tcPr>
            <w:tcW w:w="7234" w:type="dxa"/>
            <w:gridSpan w:val="3"/>
            <w:vAlign w:val="center"/>
          </w:tcPr>
          <w:p w14:paraId="292CF53F">
            <w:pPr>
              <w:widowControl/>
              <w:spacing w:before="81" w:after="81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18"/>
                <w:color w:val="000000"/>
              </w:rPr>
              <w:t xml:space="preserve">创意设计类（含可运行概念原型）</w:t>
            </w:r>
          </w:p>
        </w:tc>
      </w:tr>
      <w:tr w14:paraId="23A8F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D480484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75620A7F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先进性：</w:t>
            </w:r>
          </w:p>
        </w:tc>
        <w:tc>
          <w:tcPr>
            <w:tcW w:w="7234" w:type="dxa"/>
            <w:gridSpan w:val="3"/>
            <w:vAlign w:val="center"/>
          </w:tcPr>
          <w:p w14:paraId="11AA7D44">
            <w:pPr>
              <w:widowControl/>
              <w:spacing w:before="81" w:after="81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无法判断。以应用机制设计和五案对照说明创新。</w:t>
            </w:r>
          </w:p>
        </w:tc>
      </w:tr>
      <w:tr w14:paraId="771E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4BB40A0B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4DA94D54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成果交付物类型（可多选）</w:t>
            </w:r>
          </w:p>
        </w:tc>
        <w:tc>
          <w:tcPr>
            <w:tcW w:w="7234" w:type="dxa"/>
            <w:gridSpan w:val="3"/>
            <w:vAlign w:val="center"/>
          </w:tcPr>
          <w:p w14:paraId="4C590370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软件、方法。</w:t>
            </w:r>
          </w:p>
        </w:tc>
      </w:tr>
      <w:tr w14:paraId="3BCCB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5215EE54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559DBAC9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技术成熟度（单选）：</w:t>
            </w:r>
          </w:p>
        </w:tc>
        <w:tc>
          <w:tcPr>
            <w:tcW w:w="7234" w:type="dxa"/>
            <w:gridSpan w:val="3"/>
            <w:vAlign w:val="center"/>
          </w:tcPr>
          <w:p w14:paraId="479A2096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第3级（概念验证，自评）。</w:t>
            </w:r>
          </w:p>
        </w:tc>
      </w:tr>
      <w:tr w14:paraId="75AE4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9E81CC6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1651D406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国内外对比参照物（可多个参照物）：</w:t>
            </w:r>
          </w:p>
        </w:tc>
        <w:tc>
          <w:tcPr>
            <w:tcW w:w="7234" w:type="dxa"/>
            <w:gridSpan w:val="3"/>
            <w:vAlign w:val="center"/>
          </w:tcPr>
          <w:p w14:paraId="5FEE5DA4">
            <w:pPr>
              <w:widowControl/>
              <w:spacing w:before="81" w:after="81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国际技术参照：FHWA平衡配合比设计（2022）。</w:t>
            </w:r>
          </w:p>
          <w:p w14:paraId="5FEE5DA4">
            <w:pPr>
              <w:widowControl/>
              <w:spacing w:before="81" w:after="81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功能基准：同候选、同要求的全约束查表B1。</w:t>
            </w:r>
          </w:p>
          <w:p w14:paraId="5FEE5DA4">
            <w:pPr>
              <w:widowControl/>
              <w:spacing w:before="81" w:after="81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五案数值可行集合一致，新增要求解释、性能取舍与设计交接。</w:t>
            </w:r>
          </w:p>
        </w:tc>
      </w:tr>
      <w:tr w14:paraId="4DA05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2854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52D3CA02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074E71CC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关键指标</w:t>
            </w:r>
          </w:p>
          <w:p w14:paraId="22BB7561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提升情况：（</w:t>
            </w:r>
            <w:r>
              <w:rPr>
                <w:rFonts w:hint="eastAsia" w:ascii="Times New Roman" w:hAnsi="Times New Roman" w:eastAsia="仿宋" w:cs="仿宋"/>
                <w:b/>
                <w:bCs/>
                <w:kern w:val="0"/>
                <w:sz w:val="24"/>
                <w:szCs w:val="18"/>
              </w:rPr>
              <w:t>关键指标一般3-5项，具体数值需有相关试验报告、第三方检测报告等佐证材料支撑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）</w:t>
            </w:r>
          </w:p>
        </w:tc>
        <w:tc>
          <w:tcPr>
            <w:tcW w:w="7234" w:type="dxa"/>
            <w:gridSpan w:val="3"/>
            <w:vAlign w:val="center"/>
          </w:tcPr>
          <w:tbl>
            <w:tblPr>
              <w:tblStyle w:val="6"/>
              <w:tblpPr w:leftFromText="180" w:rightFromText="180" w:vertAnchor="text" w:horzAnchor="page" w:tblpXSpec="center" w:tblpY="396"/>
              <w:tblOverlap w:val="never"/>
              <w:tblW w:w="7018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11"/>
              <w:gridCol w:w="1170"/>
              <w:gridCol w:w="1124"/>
              <w:gridCol w:w="1095"/>
              <w:gridCol w:w="2118"/>
            </w:tblGrid>
            <w:tr w14:paraId="517BB7AC">
              <w:trPr>
                <w:trHeight w:val="418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E68AE64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仿宋"/>
                      <w:color w:val="000000"/>
                      <w:lang w:bidi="ar"/>
                      <w14:ligatures w14:val="standardContextual"/>
                    </w:rPr>
                    <w:t xml:space="preserve"> </w:t>
                  </w: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指标名称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E459E57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仿宋"/>
                      <w:color w:val="000000"/>
                      <w:lang w:bidi="ar"/>
                      <w14:ligatures w14:val="standardContextual"/>
                    </w:rPr>
                    <w:t xml:space="preserve"> </w:t>
                  </w: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指标值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75C0D12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参照值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784E9BE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提升度%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 w14:paraId="3A37FC8E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参照对象</w:t>
                  </w:r>
                </w:p>
              </w:tc>
            </w:tr>
            <w:tr w14:paraId="19C346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82A90D8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案例集合一致性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91CC3C9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5/5案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A554222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同池B1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FB06476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／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 w14:paraId="4E3459E2"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案例回放</w:t>
                  </w:r>
                </w:p>
              </w:tc>
            </w:tr>
            <w:tr w14:paraId="51B52B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59C8956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机制检查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E41DA05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12/12项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CB2D9DF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验收断言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8F7CF50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／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 w14:paraId="782E5EF3"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机制记录</w:t>
                  </w:r>
                </w:p>
              </w:tc>
            </w:tr>
            <w:tr w14:paraId="6CA6FAA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681649F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自动操作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3910140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14/14步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F73F753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固定流程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04CC381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／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 w14:paraId="20CA7B9C"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AI浏览器自测</w:t>
                  </w:r>
                </w:p>
              </w:tc>
            </w:tr>
            <w:tr w14:paraId="5EA4C8E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3B48761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E6064D6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9B36F66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EAAAFEF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 w14:paraId="6BB376A2"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</w:tr>
            <w:tr w14:paraId="67A735D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7E869EF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3060EA5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AA3DF57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7C92DF5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 w14:paraId="6F22AFA9"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</w:p>
              </w:tc>
            </w:tr>
          </w:tbl>
          <w:p w14:paraId="290D2574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</w:p>
        </w:tc>
      </w:tr>
      <w:tr w14:paraId="1BCD2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71A2BBC4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66A02A37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提升维度（可多选）：</w:t>
            </w:r>
          </w:p>
        </w:tc>
        <w:tc>
          <w:tcPr>
            <w:tcW w:w="7234" w:type="dxa"/>
            <w:gridSpan w:val="3"/>
            <w:vAlign w:val="center"/>
          </w:tcPr>
          <w:p w14:paraId="1313A8BC">
            <w:pPr>
              <w:widowControl/>
              <w:spacing w:line="360" w:lineRule="auto"/>
              <w:rPr>
                <w:rFonts w:ascii="Times New Roman" w:hAnsi="Times New Roman" w:eastAsia="仿宋" w:cs="仿宋"/>
                <w:kern w:val="0"/>
                <w:sz w:val="24"/>
                <w:szCs w:val="18"/>
                <w:u w:val="single"/>
              </w:rPr>
            </w:pPr>
            <w:r>
              <w:rPr>
                <w:rFonts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新功能实现：要求来源、偏好比较、带原需求的设计草案和范围内冲突诊断。</w:t>
            </w:r>
          </w:p>
          <w:p w14:paraId="1313A8BC">
            <w:pPr>
              <w:widowControl/>
              <w:spacing w:line="360" w:lineRule="auto"/>
              <w:rPr>
                <w:rFonts w:ascii="Times New Roman" w:hAnsi="Times New Roman" w:eastAsia="仿宋" w:cs="仿宋"/>
                <w:kern w:val="0"/>
                <w:sz w:val="24"/>
                <w:szCs w:val="18"/>
                <w:u w:val="single"/>
              </w:rPr>
            </w:pPr>
            <w:r>
              <w:rPr>
                <w:rFonts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关键指标采用软件过程检查，提升率栏以“／”标记。</w:t>
            </w:r>
          </w:p>
        </w:tc>
      </w:tr>
    </w:tbl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7AF563C4-34D6-4E03-89B5-3674323779EC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黑体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9AABD739-417C-4C4C-A62C-829D6C4A6EBA}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  <w:embedRegular r:id="rId3" w:fontKey="{C835C360-9FBA-457D-AB94-D833C240D37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88CFF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8FF55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8FF55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65"/>
    <w:rsid w:val="00031165"/>
    <w:rsid w:val="0037319A"/>
    <w:rsid w:val="005123E3"/>
    <w:rsid w:val="005D78D3"/>
    <w:rsid w:val="005F7FC1"/>
    <w:rsid w:val="006022A5"/>
    <w:rsid w:val="006B55D6"/>
    <w:rsid w:val="00727B81"/>
    <w:rsid w:val="007E416A"/>
    <w:rsid w:val="00971413"/>
    <w:rsid w:val="00B40E5B"/>
    <w:rsid w:val="00C23A47"/>
    <w:rsid w:val="00EF0A52"/>
    <w:rsid w:val="00FA1DE6"/>
    <w:rsid w:val="035E7A16"/>
    <w:rsid w:val="06941DC6"/>
    <w:rsid w:val="19F6DA34"/>
    <w:rsid w:val="1C2838BF"/>
    <w:rsid w:val="1D485456"/>
    <w:rsid w:val="1F6B6AC0"/>
    <w:rsid w:val="1FFFE5BD"/>
    <w:rsid w:val="28CA642A"/>
    <w:rsid w:val="2BDF9E85"/>
    <w:rsid w:val="333FDE2C"/>
    <w:rsid w:val="3F67793C"/>
    <w:rsid w:val="42B0500A"/>
    <w:rsid w:val="4E7E31A0"/>
    <w:rsid w:val="56FBDE94"/>
    <w:rsid w:val="57F3806F"/>
    <w:rsid w:val="5BCF7AD3"/>
    <w:rsid w:val="5D6737D9"/>
    <w:rsid w:val="5F7104CA"/>
    <w:rsid w:val="5FF7D9B7"/>
    <w:rsid w:val="61302E91"/>
    <w:rsid w:val="65E81C09"/>
    <w:rsid w:val="68FE2FAA"/>
    <w:rsid w:val="6AEFC613"/>
    <w:rsid w:val="6C0543DC"/>
    <w:rsid w:val="6D7B6243"/>
    <w:rsid w:val="729F83BF"/>
    <w:rsid w:val="73AFC5D2"/>
    <w:rsid w:val="74EE481B"/>
    <w:rsid w:val="7BE7BF6D"/>
    <w:rsid w:val="7DEB5D9B"/>
    <w:rsid w:val="7EBF4FF9"/>
    <w:rsid w:val="7EF214DF"/>
    <w:rsid w:val="7F3FB076"/>
    <w:rsid w:val="7FA3E9E9"/>
    <w:rsid w:val="7FFC1E6F"/>
    <w:rsid w:val="95F7AE71"/>
    <w:rsid w:val="AFAFA80C"/>
    <w:rsid w:val="BEDDDA19"/>
    <w:rsid w:val="CD9D93A6"/>
    <w:rsid w:val="D2DFB62A"/>
    <w:rsid w:val="D7F3D222"/>
    <w:rsid w:val="D7FF1812"/>
    <w:rsid w:val="DBDD2C26"/>
    <w:rsid w:val="DDC75C74"/>
    <w:rsid w:val="E7DF63B9"/>
    <w:rsid w:val="EFFFCDC6"/>
    <w:rsid w:val="EFFFCFFB"/>
    <w:rsid w:val="F4FFBB93"/>
    <w:rsid w:val="F57B7FA2"/>
    <w:rsid w:val="F9A4F9A6"/>
    <w:rsid w:val="FBA7009F"/>
    <w:rsid w:val="FBDF64D5"/>
    <w:rsid w:val="FBEF3ABD"/>
    <w:rsid w:val="FDEECDC1"/>
    <w:rsid w:val="FDF4B82A"/>
    <w:rsid w:val="FDF7CF12"/>
    <w:rsid w:val="FEFE7C39"/>
    <w:rsid w:val="FF5F2A4D"/>
    <w:rsid w:val="FFE7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  <w:ind w:firstLine="200" w:firstLineChars="200"/>
    </w:pPr>
    <w:rPr>
      <w:rFonts w:ascii="仿宋" w:hAnsi="Calibri" w:eastAsia="仿宋" w:cs="Times New Roman"/>
      <w:sz w:val="30"/>
      <w:szCs w:val="3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customStyle="1" w:styleId="10">
    <w:name w:val="10"/>
    <w:basedOn w:val="8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15"/>
    <w:basedOn w:val="8"/>
    <w:qFormat/>
    <w:uiPriority w:val="0"/>
    <w:rPr>
      <w:rFonts w:hint="default" w:ascii="Times New Roman" w:hAnsi="Times New Roman" w:cs="Times New Roman"/>
      <w:b/>
    </w:rPr>
  </w:style>
  <w:style w:type="paragraph" w:customStyle="1" w:styleId="12">
    <w:name w:val="指南标题3"/>
    <w:qFormat/>
    <w:uiPriority w:val="0"/>
    <w:pPr>
      <w:keepNext/>
      <w:keepLines/>
      <w:widowControl w:val="0"/>
      <w:spacing w:line="360" w:lineRule="auto"/>
      <w:outlineLvl w:val="2"/>
    </w:pPr>
    <w:rPr>
      <w:rFonts w:ascii="仿宋" w:hAnsi="宋体" w:eastAsia="仿宋" w:cs="Times New Roman"/>
      <w:b/>
      <w:color w:val="000000"/>
      <w:kern w:val="2"/>
      <w:sz w:val="32"/>
      <w:szCs w:val="32"/>
      <w:lang w:val="en-US" w:eastAsia="zh-CN" w:bidi="ar-SA"/>
    </w:rPr>
  </w:style>
  <w:style w:type="paragraph" w:customStyle="1" w:styleId="13">
    <w:name w:val="Table Text"/>
    <w:basedOn w:val="1"/>
    <w:hidden/>
    <w:qFormat/>
    <w:uiPriority w:val="0"/>
    <w:pPr>
      <w:spacing w:before="127" w:line="360" w:lineRule="auto"/>
      <w:jc w:val="center"/>
    </w:pPr>
    <w:rPr>
      <w:rFonts w:ascii="仿宋" w:hAnsi="仿宋" w:eastAsia="仿宋" w:cs="Times New Roman"/>
      <w:sz w:val="28"/>
      <w:szCs w:val="28"/>
    </w:rPr>
  </w:style>
  <w:style w:type="paragraph" w:customStyle="1" w:styleId="14">
    <w:name w:val="指南标题2"/>
    <w:qFormat/>
    <w:uiPriority w:val="0"/>
    <w:pPr>
      <w:keepNext/>
      <w:keepLines/>
      <w:widowControl w:val="0"/>
      <w:spacing w:line="360" w:lineRule="auto"/>
      <w:outlineLvl w:val="1"/>
    </w:pPr>
    <w:rPr>
      <w:rFonts w:ascii="黑体" w:hAnsi="Microsoft YaHei UI" w:eastAsia="黑体" w:cs="Times New Roman"/>
      <w:b/>
      <w:color w:val="000000"/>
      <w:kern w:val="2"/>
      <w:sz w:val="32"/>
      <w:szCs w:val="32"/>
      <w:lang w:val="en-US" w:eastAsia="zh-CN" w:bidi="ar-SA"/>
    </w:rPr>
  </w:style>
  <w:style w:type="character" w:customStyle="1" w:styleId="15">
    <w:name w:val="17"/>
    <w:basedOn w:val="8"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</w:rPr>
  </w:style>
  <w:style w:type="character" w:customStyle="1" w:styleId="16">
    <w:name w:val="18"/>
    <w:basedOn w:val="8"/>
    <w:qFormat/>
    <w:uiPriority w:val="0"/>
    <w:rPr>
      <w:rFonts w:hint="eastAsia" w:ascii="宋体" w:hAnsi="宋体" w:eastAsia="宋体" w:cs="宋体"/>
      <w:color w:val="0070C0"/>
      <w:sz w:val="22"/>
      <w:szCs w:val="22"/>
    </w:rPr>
  </w:style>
  <w:style w:type="character" w:customStyle="1" w:styleId="17">
    <w:name w:val="16"/>
    <w:basedOn w:val="8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18">
    <w:name w:val="正文-公1"/>
    <w:basedOn w:val="1"/>
    <w:qFormat/>
    <w:uiPriority w:val="0"/>
    <w:pPr>
      <w:spacing w:line="360" w:lineRule="auto"/>
      <w:ind w:firstLine="200" w:firstLineChars="200"/>
    </w:pPr>
    <w:rPr>
      <w:rFonts w:ascii="仿宋" w:hAnsi="Calibri" w:eastAsia="仿宋" w:cs="Times New Roman"/>
      <w:sz w:val="32"/>
      <w:szCs w:val="32"/>
    </w:rPr>
  </w:style>
  <w:style w:type="paragraph" w:customStyle="1" w:styleId="19">
    <w:name w:val="指南标题1"/>
    <w:qFormat/>
    <w:uiPriority w:val="0"/>
    <w:pPr>
      <w:keepNext/>
      <w:keepLines/>
      <w:widowControl w:val="0"/>
      <w:spacing w:after="120" w:line="360" w:lineRule="auto"/>
      <w:jc w:val="center"/>
      <w:outlineLvl w:val="0"/>
    </w:pPr>
    <w:rPr>
      <w:rFonts w:ascii="方正小标宋简体" w:hAnsi="Microsoft YaHei UI" w:eastAsia="方正小标宋简体" w:cs="Times New Roman"/>
      <w:b/>
      <w:color w:val="000000"/>
      <w:kern w:val="44"/>
      <w:sz w:val="36"/>
      <w:szCs w:val="36"/>
      <w:lang w:val="en-US" w:eastAsia="zh-CN" w:bidi="ar-SA"/>
    </w:rPr>
  </w:style>
  <w:style w:type="paragraph" w:customStyle="1" w:styleId="20">
    <w:name w:val="指南标题"/>
    <w:basedOn w:val="1"/>
    <w:qFormat/>
    <w:uiPriority w:val="0"/>
    <w:pPr>
      <w:spacing w:line="360" w:lineRule="auto"/>
      <w:ind w:left="1433" w:hanging="1433" w:hangingChars="398"/>
      <w:jc w:val="center"/>
    </w:pPr>
    <w:rPr>
      <w:rFonts w:ascii="方正小标宋简体" w:hAnsi="微软雅黑" w:eastAsia="方正小标宋简体" w:cs="Times New Roman"/>
      <w:sz w:val="36"/>
      <w:szCs w:val="36"/>
    </w:rPr>
  </w:style>
  <w:style w:type="table" w:customStyle="1" w:styleId="21">
    <w:name w:val="Table Normal1"/>
    <w:basedOn w:val="6"/>
    <w:qFormat/>
    <w:uiPriority w:val="0"/>
    <w:tblPr>
      <w:tblCellMar>
        <w:left w:w="0" w:type="dxa"/>
        <w:right w:w="0" w:type="dxa"/>
      </w:tblCellMar>
    </w:tblPr>
  </w:style>
  <w:style w:type="character" w:customStyle="1" w:styleId="22">
    <w:name w:val="font61"/>
    <w:basedOn w:val="8"/>
    <w:autoRedefine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  <w:u w:val="none"/>
    </w:rPr>
  </w:style>
  <w:style w:type="character" w:customStyle="1" w:styleId="23">
    <w:name w:val="font31"/>
    <w:basedOn w:val="8"/>
    <w:autoRedefine/>
    <w:qFormat/>
    <w:uiPriority w:val="0"/>
    <w:rPr>
      <w:rFonts w:hint="eastAsia" w:ascii="宋体" w:hAnsi="宋体" w:eastAsia="宋体" w:cs="宋体"/>
      <w:color w:val="0070C0"/>
      <w:sz w:val="22"/>
      <w:szCs w:val="22"/>
      <w:u w:val="none"/>
    </w:rPr>
  </w:style>
  <w:style w:type="paragraph" w:customStyle="1" w:styleId="24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942</Words>
  <Characters>997</Characters>
  <Lines>11</Lines>
  <Paragraphs>3</Paragraphs>
  <TotalTime>0</TotalTime>
  <ScaleCrop>false</ScaleCrop>
  <LinksUpToDate>false</LinksUpToDate>
  <CharactersWithSpaces>1441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2025-06-04T12:42:00Z</dcterms:created>
  <dc:creator/>
  <cp:lastModifiedBy/>
  <dcterms:modified xsi:type="dcterms:W3CDTF">2026-06-26T10:41:35Z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eyJoZGlkIjoiMjBmMzg2ZmFkMDc5YmExYmZmYjEyYjAyOWU2M2ViOWYiLCJ1c2VySWQiOiIxNDc1MjUxMTM2In0=</vt:lpwstr>
  </property>
  <property fmtid="{D5CDD505-2E9C-101B-9397-08002B2CF9AE}" pid="4" name="ICV">
    <vt:lpwstr>52254B7D4BEC44C7AC8CB2B97703B85B_13</vt:lpwstr>
  </property>
</Properties>
</file>