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HybridGuard：当前表现与后续研究建议</w:t>
      </w:r>
    </w:p>
    <w:p>
      <w:pPr/>
      <w:r>
        <w:t>2026-10-14｜当前模型 V5.1.9-development｜先评估，再适配新数据，最后修改</w:t>
      </w:r>
    </w:p>
    <w:p>
      <w:pPr>
        <w:pStyle w:val="Heading1"/>
      </w:pPr>
      <w:r>
        <w:t>1. 当前模型跑完了什么</w:t>
      </w:r>
    </w:p>
    <w:p>
      <w:pPr/>
      <w:r>
        <w:t>51 份开发工作簿 × 2 个定位后端 × 6 种模式，共 612 次诊断。源码与预测锁核对通过，282 个唯一解证书重放通过，结果与历史记录一致。旧模型代码未修改。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373"/>
        <w:gridCol w:w="3373"/>
      </w:tblGrid>
      <w:tr>
        <w:trPr>
          <w:cantSplit/>
          <w:tblHeader/>
        </w:trPr>
        <w:tc>
          <w:tcPr>
            <w:tcW w:type="dxa" w:w="3061"/>
            <w:shd w:fill="E7EFF4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开发集指标</w:t>
            </w:r>
          </w:p>
        </w:tc>
        <w:tc>
          <w:tcPr>
            <w:tcW w:type="dxa" w:w="3373"/>
            <w:shd w:fill="E7EFF4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V4 后端</w:t>
            </w:r>
          </w:p>
        </w:tc>
        <w:tc>
          <w:tcPr>
            <w:tcW w:type="dxa" w:w="3373"/>
            <w:shd w:fill="E7EFF4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V5.1.1 后端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正确接受覆盖率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540/735 = 73.47%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540/735 = 73.47%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接受建议精确率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540/540 = 100%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540/540 = 100%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正确格错误候选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3,408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全部候选精确匹配比例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17.74%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96.46%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宏平均 ordered AP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0.8564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宏平均 Recall@10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63.54%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74.06%</w:t>
            </w:r>
          </w:p>
        </w:tc>
      </w:tr>
    </w:tbl>
    <w:p>
      <w:pPr/>
      <w:r>
        <w:t>候选和最终接受是两层输出。3,408/27 是候选误建议格数，系统没有把它们写回工作簿。100% 只适用于已知生成器开发集的接受建议，不能当作真实业务精确率。51 份输入都含错误，仍需全干净控制。</w:t>
      </w:r>
    </w:p>
    <w:p>
      <w:pPr>
        <w:pStyle w:val="Heading1"/>
      </w:pPr>
      <w:r>
        <w:t>2. Enron 回顾性定位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373"/>
        <w:gridCol w:w="3373"/>
      </w:tblGrid>
      <w:tr>
        <w:trPr>
          <w:cantSplit/>
          <w:tblHeader/>
        </w:trPr>
        <w:tc>
          <w:tcPr>
            <w:tcW w:type="dxa" w:w="3061"/>
            <w:shd w:fill="E7EFF4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180 秒/工作簿/后端</w:t>
            </w:r>
          </w:p>
        </w:tc>
        <w:tc>
          <w:tcPr>
            <w:tcW w:type="dxa" w:w="3373"/>
            <w:shd w:fill="E7EFF4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V4</w:t>
            </w:r>
          </w:p>
        </w:tc>
        <w:tc>
          <w:tcPr>
            <w:tcW w:type="dxa" w:w="3373"/>
            <w:shd w:fill="E7EFF4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V5.1.1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成功工作簿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21/25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24/25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Top10 事件命中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17/30 = 56.67%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16/30 = 53.33%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超时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 份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 份</w:t>
            </w:r>
          </w:p>
        </w:tc>
      </w:tr>
    </w:tbl>
    <w:p>
      <w:pPr/>
      <w:r>
        <w:t>50 个任务全部尝试，45 个成功、5 个超时；超时按未命中计入。Top10 指一个事件的任一标注源格进入前十。Enron 缺少正确公式和完整正确格真值，无法算修复精确率。</w:t>
      </w:r>
    </w:p>
    <w:p>
      <w:pPr/>
      <w:r>
        <w:t>两个后端各保留 8 个 stable_copy_template 接受决策，正确性未知。后续需对这一路输出单独门控。当前应保留两个后端作外部对照。</w:t>
      </w:r>
    </w:p>
    <w:p>
      <w:r>
        <w:br w:type="page"/>
      </w:r>
    </w:p>
    <w:p>
      <w:pPr>
        <w:pStyle w:val="Title"/>
      </w:pPr>
      <w:r>
        <w:t>新数据：下载完成，适配和评分待做</w:t>
      </w:r>
    </w:p>
    <w:p>
      <w:pPr/>
      <w:r>
        <w:t>本轮已经检查 ZIP 完整性、标注引用和 Git blob 哈希。包内数量不能直接当作独立模板数。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373"/>
        <w:gridCol w:w="3373"/>
      </w:tblGrid>
      <w:tr>
        <w:trPr>
          <w:cantSplit/>
          <w:tblHeader/>
        </w:trPr>
        <w:tc>
          <w:tcPr>
            <w:tcW w:type="dxa" w:w="3061"/>
            <w:shd w:fill="E7EFF4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数据</w:t>
            </w:r>
          </w:p>
        </w:tc>
        <w:tc>
          <w:tcPr>
            <w:tcW w:type="dxa" w:w="3373"/>
            <w:shd w:fill="E7EFF4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本地核查</w:t>
            </w:r>
          </w:p>
        </w:tc>
        <w:tc>
          <w:tcPr>
            <w:tcW w:type="dxa" w:w="3373"/>
            <w:shd w:fill="E7EFF4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建议用途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Modified EUSES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705 配置；2,060 工作簿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优先配对原表，建立注入修复真值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Info1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119 学生表；2 个模板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真实学生错误补充，按模板隔离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Integer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231 配置；404 源格标签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整数域补充，核对非公式标签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Payroll/Gradebook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349 配置；565 个用户判断错误标记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不可靠用户测试和约束压力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FoRepBench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618 生成样本；59 论坛种子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显式报错修复补充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SpreadsheetBench 2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文档和论文已取得；数据文件未取得</w:t>
            </w:r>
          </w:p>
        </w:tc>
        <w:tc>
          <w:tcPr>
            <w:tcW w:type="dxa" w:w="3373"/>
          </w:tcPr>
          <w:p>
            <w:pPr>
              <w:spacing w:after="60" w:before="60" w:line="25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核对 Debugging 子集后再决定</w:t>
            </w:r>
          </w:p>
        </w:tc>
      </w:tr>
    </w:tbl>
    <w:p>
      <w:pPr>
        <w:pStyle w:val="Heading1"/>
      </w:pPr>
      <w:r>
        <w:t>3. 数据要先解决的四件事</w:t>
      </w:r>
    </w:p>
    <w:p>
      <w:pPr/>
      <w:r>
        <w:t>① 官网 EUSES 记录 576 个单错误版本，但当前 ZIP 有 705 个配置。先确认包版本、重复、家族和原始表映射。</w:t>
      </w:r>
    </w:p>
    <w:p>
      <w:pPr/>
      <w:r>
        <w:t>② properties 主要给错误源格和输出测试值，没有直接给正确源公式。先把原表与故障表配对，区分自然错误、注入错误和未知公式。</w:t>
      </w:r>
    </w:p>
    <w:p>
      <w:pPr/>
      <w:r>
        <w:t>③ 在副本区转换 xls→xlsx，记录转换版本、原文件哈希、公式数量和文本差异，避免转换造成新错误。</w:t>
      </w:r>
    </w:p>
    <w:p>
      <w:pPr/>
      <w:r>
        <w:t>④ 按模板家族或近重复簇划分开发与留出集；同时补充合法例外和全干净控制。冻结后先锁当前模型预测，再读标签评分。</w:t>
      </w:r>
    </w:p>
    <w:p>
      <w:pPr>
        <w:pStyle w:val="Heading1"/>
      </w:pPr>
      <w:r>
        <w:t>任务边界</w:t>
      </w:r>
    </w:p>
    <w:p>
      <w:pPr/>
      <w:r>
        <w:t>FoRepBench 的 618 个生成样本和 59 个种子都标有运行时错误。它提供错误公式与上下文，不能替代静默源错误定位主实验。SpreadsheetBench 2 的 Debugging 子集仍待核对。</w:t>
      </w:r>
    </w:p>
    <w:p>
      <w:pPr/>
      <w:r>
        <w:t>EUSES：spreadsheets.sai.tugraz.at/index.php/corpora-for-benchmarking/euses/</w:t>
        <w:br/>
        <w:t>FoRepBench：github.com/microsoft/prose-benchmarks/tree/d17e278092c59ec6faaa2d88730bdcbe48bb95f2/FoRepBench</w:t>
      </w:r>
    </w:p>
    <w:p>
      <w:r>
        <w:br w:type="page"/>
      </w:r>
    </w:p>
    <w:p>
      <w:pPr>
        <w:pStyle w:val="Title"/>
      </w:pPr>
      <w:r>
        <w:t>后续策略：先建立外部基线，再改选择层</w:t>
      </w:r>
    </w:p>
    <w:p>
      <w:pPr>
        <w:pStyle w:val="Heading1"/>
      </w:pPr>
      <w:r>
        <w:t>4. 建议研究主题</w:t>
      </w:r>
    </w:p>
    <w:p>
      <w:pPr/>
      <w:r>
        <w:t>面向合法业务例外与相关跨表复制错误的选择性公式修复。主要检验：在相近正确修复覆盖率下，角色、例外和来源检查能否减少错误建议。</w:t>
      </w:r>
    </w:p>
    <w:p>
      <w:pPr>
        <w:pStyle w:val="Heading1"/>
      </w:pPr>
      <w:r>
        <w:t>5. 具体执行顺序</w:t>
      </w:r>
    </w:p>
    <w:p>
      <w:pPr/>
      <w:r>
        <w:t>第一步：先完成 EUSES 原表配对、去重、公式保真和试标，标出 error、correct、legitimate_exception、unknown。</w:t>
      </w:r>
    </w:p>
    <w:p>
      <w:pPr/>
      <w:r>
        <w:t>第二步：用未修改的 V4、V5.1.1 跑外部 baseline。两个后端同时报告，保留失败和超时。</w:t>
      </w:r>
    </w:p>
    <w:p>
      <w:pPr/>
      <w:r>
        <w:t>第三步：保留候选生成器，在选择层加入汇总/明细角色、合法例外和复制来源检查；先验证简单规则。</w:t>
      </w:r>
    </w:p>
    <w:p>
      <w:pPr/>
      <w:r>
        <w:t>第四步：分别输出候选、待复核、拒绝和不支持状态，记录理由。批准约束下的联合修复单独评价，保持错误标签与约束输入隔离。</w:t>
      </w:r>
    </w:p>
    <w:p>
      <w:pPr/>
      <w:r>
        <w:t>第五步：开发集调规则，留出集冻结后锁预测再评分。比较候选精确率、接受精确率、覆盖率、风险-覆盖曲线、未知比例和耗时。</w:t>
      </w:r>
    </w:p>
    <w:p>
      <w:pPr/>
      <w:r>
        <w:t>开发目标建议：V5.1.1 正确格错误候选由 27 降至最多 5，正确接受覆盖下降不超过 5 个百分点，接受不安全组仍为零。该目标尚未达成，需实验前登记。</w:t>
      </w:r>
    </w:p>
    <w:p>
      <w:pPr>
        <w:pStyle w:val="Heading1"/>
      </w:pPr>
      <w:r>
        <w:t>6. 目录与仓库</w:t>
      </w:r>
    </w:p>
    <w:p>
      <w:pPr/>
      <w:r>
        <w:t>项目已迁移至 /home/ayaka/hybridguard；/home/ayaka/QCT 保留兼容链接。今后的输入副本、协议、结果和报告都放在 New version。/home/ayaka/code 未修改。</w:t>
      </w:r>
    </w:p>
    <w:p>
      <w:pPr/>
      <w:r>
        <w:t>继续使用 github.com/wyyyyy-0121/QCT，建议新建 research/hybridguard-followup 分支。当前没有创建分支、提交或推送。</w:t>
      </w:r>
    </w:p>
    <w:p>
      <w:pPr/>
      <w:r>
        <w:t>完整报告目录：\\wsl.localhost\Ubuntu-26.04\home\ayaka\hybridguard\New version</w:t>
        <w:br/>
        <w:t>先看 README.md，再看 CURRENT_MODEL_RESULT.md、DATASET_REVIEW.md、FOLLOWUP_RECOMMENDATIONS.md。</w:t>
      </w:r>
    </w:p>
    <w:p>
      <w:pPr/>
      <w:r>
        <w:t>原论文 0.3.0 与当前 V5.1.9 是不同版本。本轮运行的是当前 V5.1.9；原论文基线和旧负结果保留为历史材料。尚无新门控方法结果或新数据修复成绩。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sz w:val="16"/>
      </w:rPr>
      <w:t>HybridGuard · 当前评估与后续研究 · 2026-10-14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A4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03A4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HybridGuard 当前表现与后续研究建议</dc:title>
  <dc:subject>2026-10-14 已完成评估、新数据审计与后续研究安排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