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0"/>
      </w:pPr>
    </w:p>
    <w:p>
      <w:pPr>
        <w:spacing w:before="0" w:after="360"/>
        <w:jc w:val="center"/>
      </w:pPr>
      <w:r>
        <w:rPr>
          <w:rFonts w:ascii="Calibri" w:hAnsi="Calibri" w:eastAsia="Microsoft YaHei"/>
          <w:i w:val="0"/>
          <w:color w:val="5B677A"/>
          <w:sz w:val="24"/>
        </w:rPr>
        <w:t>丘成桐中学科学奖参赛研究初稿</w:t>
      </w:r>
    </w:p>
    <w:p>
      <w:pPr>
        <w:spacing w:before="0" w:after="160"/>
        <w:jc w:val="center"/>
      </w:pPr>
      <w:r>
        <w:rPr>
          <w:rFonts w:ascii="Calibri" w:hAnsi="Calibri" w:eastAsia="Microsoft YaHei"/>
          <w:i w:val="0"/>
          <w:color w:val="0B2545"/>
          <w:sz w:val="60"/>
        </w:rPr>
        <w:t>FormulaGuard</w:t>
      </w:r>
    </w:p>
    <w:p>
      <w:pPr>
        <w:spacing w:before="0" w:after="360"/>
        <w:jc w:val="center"/>
      </w:pPr>
      <w:r>
        <w:rPr>
          <w:rFonts w:ascii="Calibri" w:hAnsi="Calibri" w:eastAsia="Microsoft YaHei"/>
          <w:b/>
          <w:i w:val="0"/>
          <w:color w:val="1F4D78"/>
          <w:sz w:val="34"/>
        </w:rPr>
        <w:t>面向无输出真值场景的电子表格静默源公式错误定位</w:t>
      </w:r>
    </w:p>
    <w:p>
      <w:pPr>
        <w:pStyle w:val="PaperSubtitle"/>
        <w:spacing w:before="0" w:after="560"/>
      </w:pPr>
      <w:r>
        <w:rPr>
          <w:rFonts w:ascii="Calibri" w:hAnsi="Calibri" w:eastAsia="Microsoft YaHei"/>
          <w:i w:val="0"/>
        </w:rPr>
        <w:t>依赖图、候选修复与下游反事实诊断责任排序</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eastAsia="Microsoft YaHei"/>
                <w:b/>
                <w:color w:val="1F4D78"/>
                <w:sz w:val="20"/>
              </w:rPr>
              <w:t xml:space="preserve">当前版本说明 </w:t>
            </w:r>
            <w:r>
              <w:rPr>
                <w:rFonts w:ascii="Calibri" w:hAnsi="Calibri" w:eastAsia="Microsoft YaHei"/>
                <w:color w:val="26384D"/>
                <w:sz w:val="20"/>
              </w:rPr>
              <w:t>合成 full、LibreOffice、Enron 冻结盲测和单工作簿延迟已经写入；批量吞吐与独立小样本盲测尚未补入，相关位置均明确标注为待完成。</w:t>
            </w:r>
          </w:p>
        </w:tc>
      </w:tr>
    </w:tbl>
    <w:p>
      <w:pPr>
        <w:spacing w:after="20"/>
      </w:pPr>
    </w:p>
    <w:p>
      <w:pPr>
        <w:spacing w:before="0" w:after="400"/>
        <w:jc w:val="center"/>
      </w:pPr>
      <w:r>
        <w:rPr>
          <w:rFonts w:ascii="Calibri" w:hAnsi="Calibri" w:eastAsia="Microsoft YaHei"/>
          <w:i w:val="0"/>
          <w:color w:val="5B677A"/>
          <w:sz w:val="21"/>
        </w:rPr>
        <w:t>参赛学生：待填写    指导教师：待填写    完成日期：2026 年 8 月</w:t>
      </w:r>
    </w:p>
    <w:p>
      <w:r>
        <w:br w:type="page"/>
      </w:r>
    </w:p>
    <w:p>
      <w:pPr>
        <w:pStyle w:val="Heading1"/>
      </w:pPr>
      <w:r>
        <w:t>摘要</w:t>
      </w:r>
    </w:p>
    <w:p>
      <w:pPr>
        <w:spacing w:before="0" w:after="160"/>
      </w:pPr>
      <w:r>
        <w:rPr>
          <w:rFonts w:ascii="Calibri" w:hAnsi="Calibri" w:eastAsia="Microsoft YaHei"/>
          <w:i w:val="0"/>
        </w:rPr>
        <w:t>电子表格公式错误常不会产生 #REF! 等显式异常，而会以看似正常的数值沿依赖关系向下游传播。现实使用者通常既没有正确输出真值，也没有失败测试用例，因而难以从多个下游症状回溯最初写错的公式。本文提出 FormulaGuard：先用局部公式模式、依赖图结构与工作簿内部一致性形成可疑先验，再对有限、可解释的候选修复进行临时替换，观察异常能量及下游区域是否出现净改善。系统输出待审查的 Top-k 单元格、候选修复、传播路径和证据等级，而不读取正确公式或正确输出。</w:t>
      </w:r>
    </w:p>
    <w:p>
      <w:pPr>
        <w:spacing w:before="0" w:after="160"/>
      </w:pPr>
      <w:r>
        <w:rPr>
          <w:rFonts w:ascii="Calibri" w:hAnsi="Calibri" w:eastAsia="Microsoft YaHei"/>
          <w:i w:val="0"/>
        </w:rPr>
        <w:t>实验分为受控合成、跨引擎计算验证与真实错误盲测三层。PropagationBench-v3 包含 864 个可控实例；在该基准上 frozen-v3 的 MRR 为 1.000，但候选—变异器镜像匹配率同为 100%，故结果只能解释为候选存在条件下的机制验证。官方 Enron Error Corpus 的 20 个冻结测试事件上，图基线 MRR 为 0.365，FormulaGuard v3 为 0.250；v3 相对 v2 的 bootstrap 95% 区间跨 0，不能宣称真实表格上稳定优于图基线。本文保留该负面结果，并将方法定位为可审计的离线风险排序工具而非自动证明错误的实时插件。</w:t>
      </w:r>
    </w:p>
    <w:p>
      <w:pPr>
        <w:spacing w:before="0" w:after="240"/>
      </w:pPr>
      <w:r>
        <w:rPr>
          <w:rFonts w:ascii="Calibri" w:hAnsi="Calibri" w:eastAsia="Microsoft YaHei"/>
          <w:b/>
        </w:rPr>
        <w:t>关键词：</w:t>
      </w:r>
      <w:r>
        <w:rPr>
          <w:rFonts w:ascii="Calibri" w:hAnsi="Calibri" w:eastAsia="Microsoft YaHei"/>
          <w:i w:val="0"/>
        </w:rPr>
        <w:t>电子表格错误定位；静默错误；依赖图；候选修复；反事实诊断；可复现研究</w:t>
      </w:r>
    </w:p>
    <w:p>
      <w:pPr>
        <w:pStyle w:val="Heading1"/>
      </w:pPr>
      <w:r>
        <w:t>目录</w:t>
      </w:r>
    </w:p>
    <w:p>
      <w:pPr>
        <w:spacing w:before="0" w:after="60"/>
      </w:pPr>
      <w:r>
        <w:rPr>
          <w:rFonts w:ascii="Calibri" w:hAnsi="Calibri" w:eastAsia="Microsoft YaHei"/>
          <w:i w:val="0"/>
        </w:rPr>
        <w:t>1 引言</w:t>
      </w:r>
    </w:p>
    <w:p>
      <w:pPr>
        <w:spacing w:before="0" w:after="60"/>
      </w:pPr>
      <w:r>
        <w:rPr>
          <w:rFonts w:ascii="Calibri" w:hAnsi="Calibri" w:eastAsia="Microsoft YaHei"/>
          <w:i w:val="0"/>
        </w:rPr>
        <w:t>2 相关工作与差异</w:t>
      </w:r>
    </w:p>
    <w:p>
      <w:pPr>
        <w:spacing w:before="0" w:after="60"/>
      </w:pPr>
      <w:r>
        <w:rPr>
          <w:rFonts w:ascii="Calibri" w:hAnsi="Calibri" w:eastAsia="Microsoft YaHei"/>
          <w:i w:val="0"/>
        </w:rPr>
        <w:t>3 问题定义</w:t>
      </w:r>
    </w:p>
    <w:p>
      <w:pPr>
        <w:spacing w:before="0" w:after="60"/>
      </w:pPr>
      <w:r>
        <w:rPr>
          <w:rFonts w:ascii="Calibri" w:hAnsi="Calibri" w:eastAsia="Microsoft YaHei"/>
          <w:i w:val="0"/>
        </w:rPr>
        <w:t>4 FormulaGuard 方法</w:t>
      </w:r>
    </w:p>
    <w:p>
      <w:pPr>
        <w:spacing w:before="0" w:after="60"/>
      </w:pPr>
      <w:r>
        <w:rPr>
          <w:rFonts w:ascii="Calibri" w:hAnsi="Calibri" w:eastAsia="Microsoft YaHei"/>
          <w:i w:val="0"/>
        </w:rPr>
        <w:t>5 数据与实验设计</w:t>
      </w:r>
    </w:p>
    <w:p>
      <w:pPr>
        <w:spacing w:before="0" w:after="60"/>
      </w:pPr>
      <w:r>
        <w:rPr>
          <w:rFonts w:ascii="Calibri" w:hAnsi="Calibri" w:eastAsia="Microsoft YaHei"/>
          <w:i w:val="0"/>
        </w:rPr>
        <w:t>6 实验结果与讨论</w:t>
      </w:r>
    </w:p>
    <w:p>
      <w:pPr>
        <w:spacing w:before="0" w:after="60"/>
      </w:pPr>
      <w:r>
        <w:rPr>
          <w:rFonts w:ascii="Calibri" w:hAnsi="Calibri" w:eastAsia="Microsoft YaHei"/>
          <w:i w:val="0"/>
        </w:rPr>
        <w:t>7 真实性、局限与有效性威胁</w:t>
      </w:r>
    </w:p>
    <w:p>
      <w:pPr>
        <w:spacing w:before="0" w:after="60"/>
      </w:pPr>
      <w:r>
        <w:rPr>
          <w:rFonts w:ascii="Calibri" w:hAnsi="Calibri" w:eastAsia="Microsoft YaHei"/>
          <w:i w:val="0"/>
        </w:rPr>
        <w:t>8 结论</w:t>
      </w:r>
    </w:p>
    <w:p>
      <w:pPr>
        <w:spacing w:before="0" w:after="60"/>
      </w:pPr>
      <w:r>
        <w:rPr>
          <w:rFonts w:ascii="Calibri" w:hAnsi="Calibri" w:eastAsia="Microsoft YaHei"/>
          <w:i w:val="0"/>
        </w:rPr>
        <w:t>参考文献</w:t>
      </w:r>
    </w:p>
    <w:p>
      <w:pPr>
        <w:spacing w:before="0" w:after="60"/>
      </w:pPr>
      <w:r>
        <w:rPr>
          <w:rFonts w:ascii="Calibri" w:hAnsi="Calibri" w:eastAsia="Microsoft YaHei"/>
          <w:i w:val="0"/>
        </w:rPr>
        <w:t>附录 A：复现与提交审计</w:t>
      </w:r>
    </w:p>
    <w:p>
      <w:r>
        <w:br w:type="page"/>
      </w:r>
    </w:p>
    <w:p>
      <w:pPr>
        <w:pStyle w:val="Heading1"/>
      </w:pPr>
      <w:r>
        <w:t>1 引言</w:t>
      </w:r>
    </w:p>
    <w:p>
      <w:pPr>
        <w:spacing w:before="0" w:after="160"/>
      </w:pPr>
      <w:r>
        <w:rPr>
          <w:rFonts w:ascii="Calibri" w:hAnsi="Calibri" w:eastAsia="Microsoft YaHei"/>
          <w:i w:val="0"/>
        </w:rPr>
        <w:t>预算、成绩统计、库存管理和商业分析等工作簿往往由大量相互引用的公式组成。若某一处求和范围漏掉一行、复制时绝对引用符号丢失，或运算符被误改，Excel 仍可能输出普通数值；最终汇总的异常却可能来自很早的上游公式。这样的错误具有“症状多、源头少”的特点，单纯寻找与邻居不同的公式并不能区分源错误和下游症状。</w:t>
      </w:r>
    </w:p>
    <w:p>
      <w:pPr>
        <w:spacing w:before="0" w:after="160"/>
      </w:pPr>
      <w:r>
        <w:rPr>
          <w:rFonts w:ascii="Calibri" w:hAnsi="Calibri" w:eastAsia="Microsoft YaHei"/>
          <w:i w:val="0"/>
        </w:rPr>
        <w:t>本研究关注无输出真值的严格场景：算法只能读取工作簿中的公式、引用关系、已有数值和冗余检查，不能读取正确输出、正确公式或已知错误单元格。目标不是在因果意义上证明某格必错，而是在有限人工审查预算内，优先呈现更值得检查的源公式，并说明候选修复可能改善哪些内部矛盾。</w:t>
      </w:r>
    </w:p>
    <w:p>
      <w:pPr>
        <w:pStyle w:val="ListBullet"/>
        <w:spacing w:after="80" w:line="290" w:lineRule="auto"/>
      </w:pPr>
      <w:r>
        <w:rPr>
          <w:rFonts w:ascii="Calibri" w:hAnsi="Calibri" w:eastAsia="Microsoft YaHei"/>
          <w:color w:val="202020"/>
          <w:sz w:val="22"/>
        </w:rPr>
        <w:t>任务贡献：定义无输出真值、静默公式错误和源错误审查排序的输入、输出与评价边界。</w:t>
      </w:r>
    </w:p>
    <w:p>
      <w:pPr>
        <w:pStyle w:val="ListBullet"/>
        <w:spacing w:after="80" w:line="290" w:lineRule="auto"/>
      </w:pPr>
      <w:r>
        <w:rPr>
          <w:rFonts w:ascii="Calibri" w:hAnsi="Calibri" w:eastAsia="Microsoft YaHei"/>
          <w:color w:val="202020"/>
          <w:sz w:val="22"/>
        </w:rPr>
        <w:t>方法贡献：将候选小修复、工作簿内部一致性变化和下游依赖区域恢复组合为可审计证据，而不是把局部离群直接等同于错误。</w:t>
      </w:r>
    </w:p>
    <w:p>
      <w:pPr>
        <w:pStyle w:val="ListBullet"/>
        <w:spacing w:after="80" w:line="290" w:lineRule="auto"/>
      </w:pPr>
      <w:r>
        <w:rPr>
          <w:rFonts w:ascii="Calibri" w:hAnsi="Calibri" w:eastAsia="Microsoft YaHei"/>
          <w:color w:val="202020"/>
          <w:sz w:val="22"/>
        </w:rPr>
        <w:t>证据贡献：以合成耦合审计、官方 Enron 事件级盲测、LibreOffice 交叉验证、失败案例和性能测量共同限制结论强度。</w:t>
      </w:r>
    </w:p>
    <w:p>
      <w:pPr>
        <w:pStyle w:val="Heading1"/>
      </w:pPr>
      <w:r>
        <w:t>2 相关工作与差异</w:t>
      </w:r>
    </w:p>
    <w:p>
      <w:pPr>
        <w:pStyle w:val="Heading2"/>
      </w:pPr>
      <w:r>
        <w:t>2.1 局部公式异常与公式簇</w:t>
      </w:r>
    </w:p>
    <w:p>
      <w:pPr>
        <w:spacing w:before="0" w:after="160"/>
      </w:pPr>
      <w:r>
        <w:rPr>
          <w:rFonts w:ascii="Calibri" w:hAnsi="Calibri" w:eastAsia="Microsoft YaHei"/>
          <w:i w:val="0"/>
        </w:rPr>
        <w:t>ExceLint 利用电子表格的矩形结构和相对公式模式识别局部“惊异”公式 [3]。WARDER 则通过多层有效性规则细化单元格簇，以改善缺失或不一致公式检测 [4]。它们表明无需正确输出也能发现异常，但局部异常并不自动等于传播链中的源错误。FormulaGuard 因此将公式模式仅作为先验，并要求候选替换带来可见的内部改善才提供更强证据。</w:t>
      </w:r>
    </w:p>
    <w:p>
      <w:pPr>
        <w:pStyle w:val="Heading2"/>
      </w:pPr>
      <w:r>
        <w:t>2.2 有测试信息的电子表格调试</w:t>
      </w:r>
    </w:p>
    <w:p>
      <w:pPr>
        <w:spacing w:before="0" w:after="160"/>
      </w:pPr>
      <w:r>
        <w:rPr>
          <w:rFonts w:ascii="Calibri" w:hAnsi="Calibri" w:eastAsia="Microsoft YaHei"/>
          <w:i w:val="0"/>
        </w:rPr>
        <w:t>GoalDebug 允许用户表达对单元格值的预期，并据此辅助公式修改 [1]。Hofer 等将谱故障定位、动态切片和约束调试用于电子表格，并在有通过/失败测试信息的条件下比较方法 [2]。本文认可依赖图排序的基础价值，但不假设使用者拥有失败输出；SFL-Oracle 仅作为有真值辅助参照，不与无真值方法混合比较。</w:t>
      </w:r>
    </w:p>
    <w:p>
      <w:pPr>
        <w:pStyle w:val="Heading2"/>
      </w:pPr>
      <w:r>
        <w:t>2.3 蜕变关系、候选修复与本文边界</w:t>
      </w:r>
    </w:p>
    <w:p>
      <w:pPr>
        <w:spacing w:before="0" w:after="160"/>
      </w:pPr>
      <w:r>
        <w:rPr>
          <w:rFonts w:ascii="Calibri" w:hAnsi="Calibri" w:eastAsia="Microsoft YaHei"/>
          <w:i w:val="0"/>
        </w:rPr>
        <w:t>SEDMR 通过输入变换下的蜕变关系检测公式错误 [5]。FormulaGuard 的操作不同：它不设计输入扰动，而是暂时替换一个有限候选公式并观察工作簿内部异常和下游区域的变化。本文不声称首次使用依赖图、候选修复或反事实思想；窄创新是把它们组织成一个没有正确输出真值时仍可解释、可降级的源错误审查流程。</w:t>
      </w:r>
    </w:p>
    <w:tbl>
      <w:tblPr>
        <w:tblStyle w:val="TableGrid"/>
        <w:tblW w:type="dxa" w:w="9360"/>
        <w:jc w:val="left"/>
        <w:tblLayout w:type="fixed"/>
        <w:tblLook w:firstColumn="1" w:firstRow="1" w:lastColumn="0" w:lastRow="0" w:noHBand="0" w:noVBand="1" w:val="04A0"/>
        <w:tblInd w:w="120" w:type="dxa"/>
      </w:tblPr>
      <w:tblGrid>
        <w:gridCol w:w="1600"/>
        <w:gridCol w:w="2150"/>
        <w:gridCol w:w="2700"/>
        <w:gridCol w:w="2910"/>
      </w:tblGrid>
      <w:tr>
        <w:tc>
          <w:tcPr>
            <w:tcW w:type="dxa" w:w="1600"/>
            <w:shd w:fill="F4F6F9"/>
            <w:tcMar>
              <w:top w:w="80" w:type="dxa"/>
              <w:start w:w="120" w:type="dxa"/>
              <w:bottom w:w="80" w:type="dxa"/>
              <w:end w:w="120" w:type="dxa"/>
            </w:tcMar>
            <w:vAlign w:val="center"/>
          </w:tcPr>
          <w:p>
            <w:pPr>
              <w:spacing w:after="0"/>
            </w:pPr>
            <w:r>
              <w:rPr>
                <w:rFonts w:ascii="Calibri" w:hAnsi="Calibri" w:eastAsia="Microsoft YaHei"/>
                <w:b/>
                <w:color w:val="0B2545"/>
                <w:sz w:val="19"/>
              </w:rPr>
              <w:t>方法类别</w:t>
            </w:r>
          </w:p>
        </w:tc>
        <w:tc>
          <w:tcPr>
            <w:tcW w:type="dxa" w:w="2150"/>
            <w:shd w:fill="F4F6F9"/>
            <w:tcMar>
              <w:top w:w="80" w:type="dxa"/>
              <w:start w:w="120" w:type="dxa"/>
              <w:bottom w:w="80" w:type="dxa"/>
              <w:end w:w="120" w:type="dxa"/>
            </w:tcMar>
            <w:vAlign w:val="center"/>
          </w:tcPr>
          <w:p>
            <w:pPr>
              <w:spacing w:after="0"/>
            </w:pPr>
            <w:r>
              <w:rPr>
                <w:rFonts w:ascii="Calibri" w:hAnsi="Calibri" w:eastAsia="Microsoft YaHei"/>
                <w:b/>
                <w:color w:val="0B2545"/>
                <w:sz w:val="19"/>
              </w:rPr>
              <w:t>需要的额外信息</w:t>
            </w:r>
          </w:p>
        </w:tc>
        <w:tc>
          <w:tcPr>
            <w:tcW w:type="dxa" w:w="2700"/>
            <w:shd w:fill="F4F6F9"/>
            <w:tcMar>
              <w:top w:w="80" w:type="dxa"/>
              <w:start w:w="120" w:type="dxa"/>
              <w:bottom w:w="80" w:type="dxa"/>
              <w:end w:w="120" w:type="dxa"/>
            </w:tcMar>
            <w:vAlign w:val="center"/>
          </w:tcPr>
          <w:p>
            <w:pPr>
              <w:spacing w:after="0"/>
            </w:pPr>
            <w:r>
              <w:rPr>
                <w:rFonts w:ascii="Calibri" w:hAnsi="Calibri" w:eastAsia="Microsoft YaHei"/>
                <w:b/>
                <w:color w:val="0B2545"/>
                <w:sz w:val="19"/>
              </w:rPr>
              <w:t>主要证据</w:t>
            </w:r>
          </w:p>
        </w:tc>
        <w:tc>
          <w:tcPr>
            <w:tcW w:type="dxa" w:w="2910"/>
            <w:shd w:fill="F4F6F9"/>
            <w:tcMar>
              <w:top w:w="80" w:type="dxa"/>
              <w:start w:w="120" w:type="dxa"/>
              <w:bottom w:w="80" w:type="dxa"/>
              <w:end w:w="120" w:type="dxa"/>
            </w:tcMar>
            <w:vAlign w:val="center"/>
          </w:tcPr>
          <w:p>
            <w:pPr>
              <w:spacing w:after="0"/>
            </w:pPr>
            <w:r>
              <w:rPr>
                <w:rFonts w:ascii="Calibri" w:hAnsi="Calibri" w:eastAsia="Microsoft YaHei"/>
                <w:b/>
                <w:color w:val="0B2545"/>
                <w:sz w:val="19"/>
              </w:rPr>
              <w:t>与本文的关系</w:t>
            </w:r>
          </w:p>
        </w:tc>
      </w:tr>
      <w:tr>
        <w:tc>
          <w:tcPr>
            <w:tcW w:type="dxa" w:w="16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GoalDebug [1]</w:t>
            </w:r>
          </w:p>
        </w:tc>
        <w:tc>
          <w:tcPr>
            <w:tcW w:type="dxa" w:w="215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用户预期值</w:t>
            </w:r>
          </w:p>
        </w:tc>
        <w:tc>
          <w:tcPr>
            <w:tcW w:type="dxa" w:w="2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目标导向公式修改</w:t>
            </w:r>
          </w:p>
        </w:tc>
        <w:tc>
          <w:tcPr>
            <w:tcW w:type="dxa" w:w="291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输入条件不同</w:t>
            </w:r>
          </w:p>
        </w:tc>
      </w:tr>
      <w:tr>
        <w:tc>
          <w:tcPr>
            <w:tcW w:type="dxa" w:w="16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SFL/动态切片 [2]</w:t>
            </w:r>
          </w:p>
        </w:tc>
        <w:tc>
          <w:tcPr>
            <w:tcW w:type="dxa" w:w="215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通过/失败测试</w:t>
            </w:r>
          </w:p>
        </w:tc>
        <w:tc>
          <w:tcPr>
            <w:tcW w:type="dxa" w:w="2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失败输出相关性</w:t>
            </w:r>
          </w:p>
        </w:tc>
        <w:tc>
          <w:tcPr>
            <w:tcW w:type="dxa" w:w="291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有真值辅助参照</w:t>
            </w:r>
          </w:p>
        </w:tc>
      </w:tr>
      <w:tr>
        <w:tc>
          <w:tcPr>
            <w:tcW w:type="dxa" w:w="16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ExceLint [3]</w:t>
            </w:r>
          </w:p>
        </w:tc>
        <w:tc>
          <w:tcPr>
            <w:tcW w:type="dxa" w:w="215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无</w:t>
            </w:r>
          </w:p>
        </w:tc>
        <w:tc>
          <w:tcPr>
            <w:tcW w:type="dxa" w:w="2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局部模式异常</w:t>
            </w:r>
          </w:p>
        </w:tc>
        <w:tc>
          <w:tcPr>
            <w:tcW w:type="dxa" w:w="291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无真值强基线思想</w:t>
            </w:r>
          </w:p>
        </w:tc>
      </w:tr>
      <w:tr>
        <w:tc>
          <w:tcPr>
            <w:tcW w:type="dxa" w:w="16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WARDER [4]</w:t>
            </w:r>
          </w:p>
        </w:tc>
        <w:tc>
          <w:tcPr>
            <w:tcW w:type="dxa" w:w="215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无</w:t>
            </w:r>
          </w:p>
        </w:tc>
        <w:tc>
          <w:tcPr>
            <w:tcW w:type="dxa" w:w="2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有效性驱动公式簇</w:t>
            </w:r>
          </w:p>
        </w:tc>
        <w:tc>
          <w:tcPr>
            <w:tcW w:type="dxa" w:w="291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透明 warder_like 近似</w:t>
            </w:r>
          </w:p>
        </w:tc>
      </w:tr>
      <w:tr>
        <w:tc>
          <w:tcPr>
            <w:tcW w:type="dxa" w:w="16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SEDMR [5]</w:t>
            </w:r>
          </w:p>
        </w:tc>
        <w:tc>
          <w:tcPr>
            <w:tcW w:type="dxa" w:w="215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可用蜕变关系</w:t>
            </w:r>
          </w:p>
        </w:tc>
        <w:tc>
          <w:tcPr>
            <w:tcW w:type="dxa" w:w="2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输入变换违反</w:t>
            </w:r>
          </w:p>
        </w:tc>
        <w:tc>
          <w:tcPr>
            <w:tcW w:type="dxa" w:w="291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相邻任务，证据路径不同</w:t>
            </w:r>
          </w:p>
        </w:tc>
      </w:tr>
      <w:tr>
        <w:tc>
          <w:tcPr>
            <w:tcW w:type="dxa" w:w="16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FormulaGuard</w:t>
            </w:r>
          </w:p>
        </w:tc>
        <w:tc>
          <w:tcPr>
            <w:tcW w:type="dxa" w:w="215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无正确输出</w:t>
            </w:r>
          </w:p>
        </w:tc>
        <w:tc>
          <w:tcPr>
            <w:tcW w:type="dxa" w:w="2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候选替换后的内部净改善</w:t>
            </w:r>
          </w:p>
        </w:tc>
        <w:tc>
          <w:tcPr>
            <w:tcW w:type="dxa" w:w="291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本文方法</w:t>
            </w:r>
          </w:p>
        </w:tc>
      </w:tr>
    </w:tbl>
    <w:p>
      <w:pPr>
        <w:spacing w:after="40"/>
      </w:pPr>
    </w:p>
    <w:p>
      <w:pPr>
        <w:pStyle w:val="Heading1"/>
      </w:pPr>
      <w:r>
        <w:t>3 问题定义</w:t>
      </w:r>
    </w:p>
    <w:p>
      <w:pPr>
        <w:spacing w:before="0" w:after="160"/>
      </w:pPr>
      <w:r>
        <w:rPr>
          <w:rFonts w:ascii="Calibri" w:hAnsi="Calibri" w:eastAsia="Microsoft YaHei"/>
          <w:i w:val="0"/>
        </w:rPr>
        <w:t>令工作簿的公式单元格集合为 V。若公式 u 被公式 v 引用，则建立有向边 u→v，得到依赖图 G=(V,E)。静默错误是某个单元格 s 的公式偏离预期、但仍返回普通数值的情况；错误可能通过 G 传播至多个后代。系统输入为工作簿 W，输出 V 的可疑排序、每个高排名单元格的候选修复 r，以及至下游汇总节点的路径摘要。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eastAsia="Microsoft YaHei"/>
                <w:b/>
                <w:color w:val="1F4D78"/>
                <w:sz w:val="20"/>
              </w:rPr>
              <w:t xml:space="preserve">无真值约束 </w:t>
            </w:r>
            <w:r>
              <w:rPr>
                <w:rFonts w:ascii="Calibri" w:hAnsi="Calibri" w:eastAsia="Microsoft YaHei"/>
                <w:color w:val="26384D"/>
                <w:sz w:val="20"/>
              </w:rPr>
              <w:t>错误源、正确公式和正确输出只能存放在离线评价标签中；FormulaGuard 在排序完成前不可读取它们。这里的“反事实”是可执行的候选替换实验，不等价于具有可识别性保证的结构因果效应。</w:t>
            </w:r>
          </w:p>
        </w:tc>
      </w:tr>
    </w:tbl>
    <w:p>
      <w:pPr>
        <w:spacing w:after="20"/>
      </w:pPr>
    </w:p>
    <w:p>
      <w:pPr>
        <w:spacing w:before="0" w:after="160"/>
      </w:pPr>
      <w:r>
        <w:rPr>
          <w:rFonts w:ascii="Calibri" w:hAnsi="Calibri" w:eastAsia="Microsoft YaHei"/>
          <w:i w:val="0"/>
        </w:rPr>
        <w:t>主指标为 Top-1、Top-3、Top-5、MRR 与 EXAM。多单元格错误范围按最早命中的标注公式计算一个事件，而不把范围拆成大量伪独立样本。真实语料中正确公式未知时，只评价定位，不评价候选修复精确率。</w:t>
      </w:r>
    </w:p>
    <w:p>
      <w:pPr>
        <w:pStyle w:val="Heading1"/>
      </w:pPr>
      <w:r>
        <w:t>4 FormulaGuard 方法</w:t>
      </w:r>
    </w:p>
    <w:p>
      <w:pPr>
        <w:pStyle w:val="Heading2"/>
      </w:pPr>
      <w:r>
        <w:t>4.1 公式归一化、依赖图与局部先验</w:t>
      </w:r>
    </w:p>
    <w:p>
      <w:pPr>
        <w:spacing w:before="0" w:after="160"/>
      </w:pPr>
      <w:r>
        <w:rPr>
          <w:rFonts w:ascii="Calibri" w:hAnsi="Calibri" w:eastAsia="Microsoft YaHei"/>
          <w:i w:val="0"/>
        </w:rPr>
        <w:t>系统把 A1 公式转换为相对引用指纹，保留绝对引用符号 $，从而比较复制块中的同族公式。对每个公式 v，计算公式族异常 A_f(v)、图异常 A_g(v) 和行为异常 A_b(v)。行为异常包括可重算数值的稳健偏差和工作簿内部冗余检查形成的约束残差；它们均来自工作簿可见信息而不是外部答案。</w:t>
      </w:r>
    </w:p>
    <w:p>
      <w:pPr>
        <w:spacing w:before="0" w:after="160"/>
      </w:pPr>
      <w:r>
        <w:rPr>
          <w:rFonts w:ascii="Calibri" w:hAnsi="Calibri" w:eastAsia="Microsoft YaHei"/>
          <w:i w:val="0"/>
        </w:rPr>
        <w:t>v3 使用局部结构可靠度 ρ(v) 调整三项权重：w_f=0.45，w_g=0.20ρ，w_b=0.55-0.20ρ；局部先验为 L(v)=w_fA_f+w_gA_g+w_bA_b。若公式位于纵向递推块首行，使用工程性的边界因子 U(v)=0.25 抑制其被机械地视为异常。</w:t>
      </w:r>
    </w:p>
    <w:p>
      <w:pPr>
        <w:pStyle w:val="Heading2"/>
      </w:pPr>
      <w:r>
        <w:t>4.2 候选修复与反事实评价</w:t>
      </w:r>
    </w:p>
    <w:p>
      <w:pPr>
        <w:spacing w:before="0" w:after="160"/>
      </w:pPr>
      <w:r>
        <w:rPr>
          <w:rFonts w:ascii="Calibri" w:hAnsi="Calibri" w:eastAsia="Microsoft YaHei"/>
          <w:i w:val="0"/>
        </w:rPr>
        <w:t>候选来自相邻同族公式的平移以及有界小编辑：普通引用和复制偏移、范围端点、四则运算符、SUM/AVERAGE/MIN/MAX 替换，以及绝对引用符号的添加或删除。候选需可解析、引用有效率足够且不越界；主实验每格保留 Top-15，并用编辑族配额避免某类候选占满列表。</w:t>
      </w:r>
    </w:p>
    <w:p>
      <w:pPr>
        <w:spacing w:before="0" w:after="160"/>
      </w:pPr>
      <w:r>
        <w:rPr>
          <w:rFonts w:ascii="Calibri" w:hAnsi="Calibri" w:eastAsia="Microsoft YaHei"/>
          <w:i w:val="0"/>
        </w:rPr>
        <w:t>对候选 r 临时替换 v 的公式，分别测量公式、图、一般行为和内部约束四个能量分量的增益 gain_j 与伤害 harm_j。以结构可靠度加权后，净改善定义为 N(v,r)=max(0,G(v,r)-0.50H(v,r))。因此，仅仅让局部公式更像邻居、但破坏内部约束的候选不会得到完整奖励。</w:t>
      </w:r>
    </w:p>
    <w:p>
      <w:pPr>
        <w:pStyle w:val="Heading2"/>
      </w:pPr>
      <w:r>
        <w:t>4.3 CAR 分数与证据等级</w:t>
      </w:r>
    </w:p>
    <w:p>
      <w:pPr>
        <w:spacing w:before="0" w:after="160"/>
      </w:pPr>
      <w:r>
        <w:rPr>
          <w:rFonts w:ascii="Calibri" w:hAnsi="Calibri" w:eastAsia="Microsoft YaHei"/>
          <w:i w:val="0"/>
        </w:rPr>
        <w:t>令 I(v) 为后代范围归一化影响，C(v) 为可达检查单元格比例，R_d(v,r) 为候选在后代区域消除异常的比例。路径责任 T(v,r)=(0.60I+0.40C)R_d。冻结 v3 的候选分数为 CAR(v,r)=0.20L*(v)+0.60N(v,r)+0.10N(v,r)T(v,r)+0.10N(v,r)Q(v,r)，单元格取其最佳候选。传播和候选质量均必须乘以正的净改善，避免无证据放大。</w:t>
      </w:r>
    </w:p>
    <w:p>
      <w:pPr>
        <w:spacing w:before="0" w:after="160"/>
      </w:pPr>
      <w:r>
        <w:rPr>
          <w:rFonts w:ascii="Calibri" w:hAnsi="Calibri" w:eastAsia="Microsoft YaHei"/>
          <w:i w:val="0"/>
        </w:rPr>
        <w:t>在真实工作簿上，v3-real B 采用更保守的规则：v2 原始分数保持主排序，正 CAR 证据仅打破完全相同的 v2 分数。它输出 counterfactual_supported、pattern_only 或 insufficient_evidence，以区分“有正替换证据”“只有模式信号”与“证据不足”。</w:t>
      </w:r>
    </w:p>
    <w:tbl>
      <w:tblPr>
        <w:tblStyle w:val="TableGrid"/>
        <w:tblW w:type="dxa" w:w="9360"/>
        <w:jc w:val="left"/>
        <w:tblLayout w:type="fixed"/>
        <w:tblLook w:firstColumn="1" w:firstRow="1" w:lastColumn="0" w:lastRow="0" w:noHBand="0" w:noVBand="1" w:val="04A0"/>
        <w:tblInd w:w="120" w:type="dxa"/>
      </w:tblPr>
      <w:tblGrid>
        <w:gridCol w:w="1500"/>
        <w:gridCol w:w="2500"/>
        <w:gridCol w:w="2800"/>
        <w:gridCol w:w="2560"/>
      </w:tblGrid>
      <w:tr>
        <w:tc>
          <w:tcPr>
            <w:tcW w:type="dxa" w:w="1500"/>
            <w:shd w:fill="F4F6F9"/>
            <w:tcMar>
              <w:top w:w="80" w:type="dxa"/>
              <w:start w:w="120" w:type="dxa"/>
              <w:bottom w:w="80" w:type="dxa"/>
              <w:end w:w="120" w:type="dxa"/>
            </w:tcMar>
            <w:vAlign w:val="center"/>
          </w:tcPr>
          <w:p>
            <w:pPr>
              <w:spacing w:after="0"/>
            </w:pPr>
            <w:r>
              <w:rPr>
                <w:rFonts w:ascii="Calibri" w:hAnsi="Calibri" w:eastAsia="Microsoft YaHei"/>
                <w:b/>
                <w:color w:val="0B2545"/>
                <w:sz w:val="19"/>
              </w:rPr>
              <w:t>步骤</w:t>
            </w:r>
          </w:p>
        </w:tc>
        <w:tc>
          <w:tcPr>
            <w:tcW w:type="dxa" w:w="2500"/>
            <w:shd w:fill="F4F6F9"/>
            <w:tcMar>
              <w:top w:w="80" w:type="dxa"/>
              <w:start w:w="120" w:type="dxa"/>
              <w:bottom w:w="80" w:type="dxa"/>
              <w:end w:w="120" w:type="dxa"/>
            </w:tcMar>
            <w:vAlign w:val="center"/>
          </w:tcPr>
          <w:p>
            <w:pPr>
              <w:spacing w:after="0"/>
            </w:pPr>
            <w:r>
              <w:rPr>
                <w:rFonts w:ascii="Calibri" w:hAnsi="Calibri" w:eastAsia="Microsoft YaHei"/>
                <w:b/>
                <w:color w:val="0B2545"/>
                <w:sz w:val="19"/>
              </w:rPr>
              <w:t>输入</w:t>
            </w:r>
          </w:p>
        </w:tc>
        <w:tc>
          <w:tcPr>
            <w:tcW w:type="dxa" w:w="2800"/>
            <w:shd w:fill="F4F6F9"/>
            <w:tcMar>
              <w:top w:w="80" w:type="dxa"/>
              <w:start w:w="120" w:type="dxa"/>
              <w:bottom w:w="80" w:type="dxa"/>
              <w:end w:w="120" w:type="dxa"/>
            </w:tcMar>
            <w:vAlign w:val="center"/>
          </w:tcPr>
          <w:p>
            <w:pPr>
              <w:spacing w:after="0"/>
            </w:pPr>
            <w:r>
              <w:rPr>
                <w:rFonts w:ascii="Calibri" w:hAnsi="Calibri" w:eastAsia="Microsoft YaHei"/>
                <w:b/>
                <w:color w:val="0B2545"/>
                <w:sz w:val="19"/>
              </w:rPr>
              <w:t>输出</w:t>
            </w:r>
          </w:p>
        </w:tc>
        <w:tc>
          <w:tcPr>
            <w:tcW w:type="dxa" w:w="2560"/>
            <w:shd w:fill="F4F6F9"/>
            <w:tcMar>
              <w:top w:w="80" w:type="dxa"/>
              <w:start w:w="120" w:type="dxa"/>
              <w:bottom w:w="80" w:type="dxa"/>
              <w:end w:w="120" w:type="dxa"/>
            </w:tcMar>
            <w:vAlign w:val="center"/>
          </w:tcPr>
          <w:p>
            <w:pPr>
              <w:spacing w:after="0"/>
            </w:pPr>
            <w:r>
              <w:rPr>
                <w:rFonts w:ascii="Calibri" w:hAnsi="Calibri" w:eastAsia="Microsoft YaHei"/>
                <w:b/>
                <w:color w:val="0B2545"/>
                <w:sz w:val="19"/>
              </w:rPr>
              <w:t>标签可见性</w:t>
            </w:r>
          </w:p>
        </w:tc>
      </w:tr>
      <w:tr>
        <w:tc>
          <w:tcPr>
            <w:tcW w:type="dxa" w:w="15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1. 解析与归一化</w:t>
            </w:r>
          </w:p>
        </w:tc>
        <w:tc>
          <w:tcPr>
            <w:tcW w:type="dxa" w:w="25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公式与引用</w:t>
            </w:r>
          </w:p>
        </w:tc>
        <w:tc>
          <w:tcPr>
            <w:tcW w:type="dxa" w:w="28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公式族、依赖图</w:t>
            </w:r>
          </w:p>
        </w:tc>
        <w:tc>
          <w:tcPr>
            <w:tcW w:type="dxa" w:w="256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不可见</w:t>
            </w:r>
          </w:p>
        </w:tc>
      </w:tr>
      <w:tr>
        <w:tc>
          <w:tcPr>
            <w:tcW w:type="dxa" w:w="15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2. 局部先验</w:t>
            </w:r>
          </w:p>
        </w:tc>
        <w:tc>
          <w:tcPr>
            <w:tcW w:type="dxa" w:w="25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公式/图/内部残差</w:t>
            </w:r>
          </w:p>
        </w:tc>
        <w:tc>
          <w:tcPr>
            <w:tcW w:type="dxa" w:w="28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L(v) 排序</w:t>
            </w:r>
          </w:p>
        </w:tc>
        <w:tc>
          <w:tcPr>
            <w:tcW w:type="dxa" w:w="256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不可见</w:t>
            </w:r>
          </w:p>
        </w:tc>
      </w:tr>
      <w:tr>
        <w:tc>
          <w:tcPr>
            <w:tcW w:type="dxa" w:w="15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3. 生成候选</w:t>
            </w:r>
          </w:p>
        </w:tc>
        <w:tc>
          <w:tcPr>
            <w:tcW w:type="dxa" w:w="25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相邻公式与有界编辑</w:t>
            </w:r>
          </w:p>
        </w:tc>
        <w:tc>
          <w:tcPr>
            <w:tcW w:type="dxa" w:w="28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Top-15 候选</w:t>
            </w:r>
          </w:p>
        </w:tc>
        <w:tc>
          <w:tcPr>
            <w:tcW w:type="dxa" w:w="256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不可见</w:t>
            </w:r>
          </w:p>
        </w:tc>
      </w:tr>
      <w:tr>
        <w:tc>
          <w:tcPr>
            <w:tcW w:type="dxa" w:w="15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4. 临时替换</w:t>
            </w:r>
          </w:p>
        </w:tc>
        <w:tc>
          <w:tcPr>
            <w:tcW w:type="dxa" w:w="25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候选和后代区域</w:t>
            </w:r>
          </w:p>
        </w:tc>
        <w:tc>
          <w:tcPr>
            <w:tcW w:type="dxa" w:w="28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净改善与副作用</w:t>
            </w:r>
          </w:p>
        </w:tc>
        <w:tc>
          <w:tcPr>
            <w:tcW w:type="dxa" w:w="256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不可见</w:t>
            </w:r>
          </w:p>
        </w:tc>
      </w:tr>
      <w:tr>
        <w:tc>
          <w:tcPr>
            <w:tcW w:type="dxa" w:w="15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5. 输出审查单</w:t>
            </w:r>
          </w:p>
        </w:tc>
        <w:tc>
          <w:tcPr>
            <w:tcW w:type="dxa" w:w="25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CAR 与路径</w:t>
            </w:r>
          </w:p>
        </w:tc>
        <w:tc>
          <w:tcPr>
            <w:tcW w:type="dxa" w:w="28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Top-k、候选、证据等级</w:t>
            </w:r>
          </w:p>
        </w:tc>
        <w:tc>
          <w:tcPr>
            <w:tcW w:type="dxa" w:w="256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不可见</w:t>
            </w:r>
          </w:p>
        </w:tc>
      </w:tr>
      <w:tr>
        <w:tc>
          <w:tcPr>
            <w:tcW w:type="dxa" w:w="15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6. 离线评价</w:t>
            </w:r>
          </w:p>
        </w:tc>
        <w:tc>
          <w:tcPr>
            <w:tcW w:type="dxa" w:w="25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冻结标签</w:t>
            </w:r>
          </w:p>
        </w:tc>
        <w:tc>
          <w:tcPr>
            <w:tcW w:type="dxa" w:w="28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Top-k/MRR/EXAM</w:t>
            </w:r>
          </w:p>
        </w:tc>
        <w:tc>
          <w:tcPr>
            <w:tcW w:type="dxa" w:w="256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仅此步可见</w:t>
            </w:r>
          </w:p>
        </w:tc>
      </w:tr>
    </w:tbl>
    <w:p>
      <w:pPr>
        <w:spacing w:after="40"/>
      </w:pPr>
    </w:p>
    <w:p>
      <w:pPr>
        <w:pStyle w:val="Heading1"/>
      </w:pPr>
      <w:r>
        <w:t>5 数据与实验设计</w:t>
      </w:r>
    </w:p>
    <w:p>
      <w:pPr>
        <w:pStyle w:val="Heading2"/>
      </w:pPr>
      <w:r>
        <w:t>5.1 证据层级与标签隔离</w:t>
      </w:r>
    </w:p>
    <w:p>
      <w:pPr>
        <w:spacing w:before="0" w:after="160"/>
      </w:pPr>
      <w:r>
        <w:rPr>
          <w:rFonts w:ascii="Calibri" w:hAnsi="Calibri" w:eastAsia="Microsoft YaHei"/>
          <w:i w:val="0"/>
        </w:rPr>
        <w:t>PropagationBench-v3 提供 864 个受控错误实例，用于控制错误类型、传播深度和模板结构。其错误源和正确公式存放在独立评价标签中。Enron Error Corpus 官方页说明其包含 36 个错误及标记错误单元格的 properties 文件 [6]；项目对 36 个事件逐项清点，最终纳入 30 个公式错误事件。开发集 10 个事件和冻结测试集 20 个事件的清单哈希分离，测试集在规则冻结前未运行。</w:t>
      </w:r>
    </w:p>
    <w:p>
      <w:pPr>
        <w:pStyle w:val="Heading2"/>
      </w:pPr>
      <w:r>
        <w:t>5.2 基线、消融与统计纪律</w:t>
      </w:r>
    </w:p>
    <w:p>
      <w:pPr>
        <w:spacing w:before="0" w:after="160"/>
      </w:pPr>
      <w:r>
        <w:rPr>
          <w:rFonts w:ascii="Calibri" w:hAnsi="Calibri" w:eastAsia="Microsoft YaHei"/>
          <w:i w:val="0"/>
        </w:rPr>
        <w:t>无真值基线包括 pattern、graph、behavior、excelint_like、warder_like 和 v2 GIR；其中 -like 明确是透明思想级近似。SFL-Oracle 利用额外标签，仅作为上界参照。v3 消融包括去结构自适应、去副作用惩罚和去传播路径责任。所有合成主比较来自测试拆分；v3 相对 v2 的 MRR 差用配对 bootstrap 95% 区间解释，区间跨 0 时禁止使用“稳定优于”。</w:t>
      </w:r>
    </w:p>
    <w:p>
      <w:pPr>
        <w:pStyle w:val="Heading2"/>
      </w:pPr>
      <w:r>
        <w:t>5.3 跨引擎与性能协议</w:t>
      </w:r>
    </w:p>
    <w:p>
      <w:pPr>
        <w:spacing w:before="0" w:after="160"/>
      </w:pPr>
      <w:r>
        <w:rPr>
          <w:rFonts w:ascii="Calibri" w:hAnsi="Calibri" w:eastAsia="Microsoft YaHei"/>
          <w:i w:val="0"/>
        </w:rPr>
        <w:t>LibreOffice 对 22 份工作簿重算后，1412 个可比缓存公式值全部一致。性能实验把单工作簿隔离延迟与多进程批量吞吐严格分开：前者固定一个进程、每个规模五次重复；后者只报告总墙钟时间与 jobs/sec，不能把资源竞争下的单任务耗时伪装成延迟。</w:t>
      </w:r>
    </w:p>
    <w:p>
      <w:pPr>
        <w:pStyle w:val="Heading1"/>
      </w:pPr>
      <w:r>
        <w:t>6 实验结果与讨论</w:t>
      </w:r>
    </w:p>
    <w:p>
      <w:pPr>
        <w:pStyle w:val="Heading2"/>
      </w:pPr>
      <w:r>
        <w:t>6.1 合成机制实验：强结果与强限制必须同时报告</w:t>
      </w:r>
    </w:p>
    <w:tbl>
      <w:tblPr>
        <w:tblStyle w:val="TableGrid"/>
        <w:tblW w:type="dxa" w:w="9360"/>
        <w:jc w:val="left"/>
        <w:tblLayout w:type="fixed"/>
        <w:tblLook w:firstColumn="1" w:firstRow="1" w:lastColumn="0" w:lastRow="0" w:noHBand="0" w:noVBand="1" w:val="04A0"/>
        <w:tblInd w:w="120" w:type="dxa"/>
      </w:tblPr>
      <w:tblGrid>
        <w:gridCol w:w="2550"/>
        <w:gridCol w:w="1700"/>
        <w:gridCol w:w="1700"/>
        <w:gridCol w:w="1700"/>
        <w:gridCol w:w="1710"/>
      </w:tblGrid>
      <w:tr>
        <w:tc>
          <w:tcPr>
            <w:tcW w:type="dxa" w:w="2550"/>
            <w:shd w:fill="F4F6F9"/>
            <w:tcMar>
              <w:top w:w="80" w:type="dxa"/>
              <w:start w:w="120" w:type="dxa"/>
              <w:bottom w:w="80" w:type="dxa"/>
              <w:end w:w="120" w:type="dxa"/>
            </w:tcMar>
            <w:vAlign w:val="center"/>
          </w:tcPr>
          <w:p>
            <w:pPr>
              <w:spacing w:after="0"/>
            </w:pPr>
            <w:r>
              <w:rPr>
                <w:rFonts w:ascii="Calibri" w:hAnsi="Calibri" w:eastAsia="Microsoft YaHei"/>
                <w:b/>
                <w:color w:val="0B2545"/>
                <w:sz w:val="19"/>
              </w:rPr>
              <w:t>方法</w:t>
            </w:r>
          </w:p>
        </w:tc>
        <w:tc>
          <w:tcPr>
            <w:tcW w:type="dxa" w:w="1700"/>
            <w:shd w:fill="F4F6F9"/>
            <w:tcMar>
              <w:top w:w="80" w:type="dxa"/>
              <w:start w:w="120" w:type="dxa"/>
              <w:bottom w:w="80" w:type="dxa"/>
              <w:end w:w="120" w:type="dxa"/>
            </w:tcMar>
            <w:vAlign w:val="center"/>
          </w:tcPr>
          <w:p>
            <w:pPr>
              <w:spacing w:after="0"/>
            </w:pPr>
            <w:r>
              <w:rPr>
                <w:rFonts w:ascii="Calibri" w:hAnsi="Calibri" w:eastAsia="Microsoft YaHei"/>
                <w:b/>
                <w:color w:val="0B2545"/>
                <w:sz w:val="19"/>
              </w:rPr>
              <w:t>Top-1</w:t>
            </w:r>
          </w:p>
        </w:tc>
        <w:tc>
          <w:tcPr>
            <w:tcW w:type="dxa" w:w="1700"/>
            <w:shd w:fill="F4F6F9"/>
            <w:tcMar>
              <w:top w:w="80" w:type="dxa"/>
              <w:start w:w="120" w:type="dxa"/>
              <w:bottom w:w="80" w:type="dxa"/>
              <w:end w:w="120" w:type="dxa"/>
            </w:tcMar>
            <w:vAlign w:val="center"/>
          </w:tcPr>
          <w:p>
            <w:pPr>
              <w:spacing w:after="0"/>
            </w:pPr>
            <w:r>
              <w:rPr>
                <w:rFonts w:ascii="Calibri" w:hAnsi="Calibri" w:eastAsia="Microsoft YaHei"/>
                <w:b/>
                <w:color w:val="0B2545"/>
                <w:sz w:val="19"/>
              </w:rPr>
              <w:t>Top-5</w:t>
            </w:r>
          </w:p>
        </w:tc>
        <w:tc>
          <w:tcPr>
            <w:tcW w:type="dxa" w:w="1700"/>
            <w:shd w:fill="F4F6F9"/>
            <w:tcMar>
              <w:top w:w="80" w:type="dxa"/>
              <w:start w:w="120" w:type="dxa"/>
              <w:bottom w:w="80" w:type="dxa"/>
              <w:end w:w="120" w:type="dxa"/>
            </w:tcMar>
            <w:vAlign w:val="center"/>
          </w:tcPr>
          <w:p>
            <w:pPr>
              <w:spacing w:after="0"/>
            </w:pPr>
            <w:r>
              <w:rPr>
                <w:rFonts w:ascii="Calibri" w:hAnsi="Calibri" w:eastAsia="Microsoft YaHei"/>
                <w:b/>
                <w:color w:val="0B2545"/>
                <w:sz w:val="19"/>
              </w:rPr>
              <w:t>MRR</w:t>
            </w:r>
          </w:p>
        </w:tc>
        <w:tc>
          <w:tcPr>
            <w:tcW w:type="dxa" w:w="1710"/>
            <w:shd w:fill="F4F6F9"/>
            <w:tcMar>
              <w:top w:w="80" w:type="dxa"/>
              <w:start w:w="120" w:type="dxa"/>
              <w:bottom w:w="80" w:type="dxa"/>
              <w:end w:w="120" w:type="dxa"/>
            </w:tcMar>
            <w:vAlign w:val="center"/>
          </w:tcPr>
          <w:p>
            <w:pPr>
              <w:spacing w:after="0"/>
            </w:pPr>
            <w:r>
              <w:rPr>
                <w:rFonts w:ascii="Calibri" w:hAnsi="Calibri" w:eastAsia="Microsoft YaHei"/>
                <w:b/>
                <w:color w:val="0B2545"/>
                <w:sz w:val="19"/>
              </w:rPr>
              <w:t>EXAM</w:t>
            </w:r>
          </w:p>
        </w:tc>
      </w:tr>
      <w:tr>
        <w:tc>
          <w:tcPr>
            <w:tcW w:type="dxa" w:w="255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FormulaGuard v3</w:t>
            </w:r>
          </w:p>
        </w:tc>
        <w:tc>
          <w:tcPr>
            <w:tcW w:type="dxa" w:w="1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1.000</w:t>
            </w:r>
          </w:p>
        </w:tc>
        <w:tc>
          <w:tcPr>
            <w:tcW w:type="dxa" w:w="1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1.000</w:t>
            </w:r>
          </w:p>
        </w:tc>
        <w:tc>
          <w:tcPr>
            <w:tcW w:type="dxa" w:w="1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1.000</w:t>
            </w:r>
          </w:p>
        </w:tc>
        <w:tc>
          <w:tcPr>
            <w:tcW w:type="dxa" w:w="171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0.016</w:t>
            </w:r>
          </w:p>
        </w:tc>
      </w:tr>
      <w:tr>
        <w:tc>
          <w:tcPr>
            <w:tcW w:type="dxa" w:w="255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v2 GIR</w:t>
            </w:r>
          </w:p>
        </w:tc>
        <w:tc>
          <w:tcPr>
            <w:tcW w:type="dxa" w:w="1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0.881</w:t>
            </w:r>
          </w:p>
        </w:tc>
        <w:tc>
          <w:tcPr>
            <w:tcW w:type="dxa" w:w="1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0.961</w:t>
            </w:r>
          </w:p>
        </w:tc>
        <w:tc>
          <w:tcPr>
            <w:tcW w:type="dxa" w:w="1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0.914</w:t>
            </w:r>
          </w:p>
        </w:tc>
        <w:tc>
          <w:tcPr>
            <w:tcW w:type="dxa" w:w="171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0.045</w:t>
            </w:r>
          </w:p>
        </w:tc>
      </w:tr>
      <w:tr>
        <w:tc>
          <w:tcPr>
            <w:tcW w:type="dxa" w:w="255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WARDER-like</w:t>
            </w:r>
          </w:p>
        </w:tc>
        <w:tc>
          <w:tcPr>
            <w:tcW w:type="dxa" w:w="1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0.306</w:t>
            </w:r>
          </w:p>
        </w:tc>
        <w:tc>
          <w:tcPr>
            <w:tcW w:type="dxa" w:w="1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0.843</w:t>
            </w:r>
          </w:p>
        </w:tc>
        <w:tc>
          <w:tcPr>
            <w:tcW w:type="dxa" w:w="1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0.553</w:t>
            </w:r>
          </w:p>
        </w:tc>
        <w:tc>
          <w:tcPr>
            <w:tcW w:type="dxa" w:w="171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0.129</w:t>
            </w:r>
          </w:p>
        </w:tc>
      </w:tr>
      <w:tr>
        <w:tc>
          <w:tcPr>
            <w:tcW w:type="dxa" w:w="255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graph</w:t>
            </w:r>
          </w:p>
        </w:tc>
        <w:tc>
          <w:tcPr>
            <w:tcW w:type="dxa" w:w="1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0.287</w:t>
            </w:r>
          </w:p>
        </w:tc>
        <w:tc>
          <w:tcPr>
            <w:tcW w:type="dxa" w:w="1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0.972</w:t>
            </w:r>
          </w:p>
        </w:tc>
        <w:tc>
          <w:tcPr>
            <w:tcW w:type="dxa" w:w="1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0.549</w:t>
            </w:r>
          </w:p>
        </w:tc>
        <w:tc>
          <w:tcPr>
            <w:tcW w:type="dxa" w:w="171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0.044</w:t>
            </w:r>
          </w:p>
        </w:tc>
      </w:tr>
      <w:tr>
        <w:tc>
          <w:tcPr>
            <w:tcW w:type="dxa" w:w="255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pattern</w:t>
            </w:r>
          </w:p>
        </w:tc>
        <w:tc>
          <w:tcPr>
            <w:tcW w:type="dxa" w:w="1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0.278</w:t>
            </w:r>
          </w:p>
        </w:tc>
        <w:tc>
          <w:tcPr>
            <w:tcW w:type="dxa" w:w="1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0.778</w:t>
            </w:r>
          </w:p>
        </w:tc>
        <w:tc>
          <w:tcPr>
            <w:tcW w:type="dxa" w:w="17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0.527</w:t>
            </w:r>
          </w:p>
        </w:tc>
        <w:tc>
          <w:tcPr>
            <w:tcW w:type="dxa" w:w="171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0.086</w:t>
            </w:r>
          </w:p>
        </w:tc>
      </w:tr>
    </w:tbl>
    <w:p>
      <w:pPr>
        <w:spacing w:after="40"/>
      </w:pPr>
    </w:p>
    <w:p>
      <w:pPr>
        <w:spacing w:before="0" w:after="160"/>
      </w:pPr>
      <w:r>
        <w:rPr>
          <w:rFonts w:ascii="Calibri" w:hAnsi="Calibri" w:eastAsia="Microsoft YaHei"/>
          <w:i w:val="0"/>
        </w:rPr>
        <w:t>在 864 个受控实例上，v3 相对 v2 的平均 MRR 差为 0.086，bootstrap 95% 区间为 [0.069, 0.103]。但 Candidate Coverage@15 为 100%，镜像变异—候选操作匹配率也为 100%，被审计为 high 耦合风险。因此，表中满分只说明在正确候选存在且公式语法受支持时，反事实排序可定位所注入的源错误，不能替代自然工作簿泛化结论。</w:t>
      </w:r>
    </w:p>
    <w:p>
      <w:pPr>
        <w:pStyle w:val="Heading2"/>
      </w:pPr>
      <w:r>
        <w:t>6.2 干净工作簿与 LibreOffice 一致性</w:t>
      </w:r>
    </w:p>
    <w:p>
      <w:pPr>
        <w:spacing w:before="0" w:after="160"/>
      </w:pPr>
      <w:r>
        <w:rPr>
          <w:rFonts w:ascii="Calibri" w:hAnsi="Calibri" w:eastAsia="Microsoft YaHei"/>
          <w:i w:val="0"/>
        </w:rPr>
        <w:t>冻结阈值在 48 份合成干净工作簿上的报警率为 0%，但该数值仅是合成 clean estimate，不能称为生产环境误报率。跨引擎验证显示 22 份工作簿、1412 个可比公式缓存值全部一致，说明受支持公式的求值在本实验中与 LibreOffice 一致；它不验证业务真值或官方标签的正确性。</w:t>
      </w:r>
    </w:p>
    <w:p>
      <w:pPr>
        <w:pStyle w:val="Heading2"/>
      </w:pPr>
      <w:r>
        <w:t>6.3 Enron 冻结盲测：真实集没有稳定增益</w:t>
      </w:r>
    </w:p>
    <w:tbl>
      <w:tblPr>
        <w:tblStyle w:val="TableGrid"/>
        <w:tblW w:type="dxa" w:w="9360"/>
        <w:jc w:val="left"/>
        <w:tblLayout w:type="fixed"/>
        <w:tblLook w:firstColumn="1" w:firstRow="1" w:lastColumn="0" w:lastRow="0" w:noHBand="0" w:noVBand="1" w:val="04A0"/>
        <w:tblInd w:w="120" w:type="dxa"/>
      </w:tblPr>
      <w:tblGrid>
        <w:gridCol w:w="2200"/>
        <w:gridCol w:w="1300"/>
        <w:gridCol w:w="1300"/>
        <w:gridCol w:w="1300"/>
        <w:gridCol w:w="1600"/>
        <w:gridCol w:w="1660"/>
      </w:tblGrid>
      <w:tr>
        <w:tc>
          <w:tcPr>
            <w:tcW w:type="dxa" w:w="2200"/>
            <w:shd w:fill="F4F6F9"/>
            <w:tcMar>
              <w:top w:w="80" w:type="dxa"/>
              <w:start w:w="120" w:type="dxa"/>
              <w:bottom w:w="80" w:type="dxa"/>
              <w:end w:w="120" w:type="dxa"/>
            </w:tcMar>
            <w:vAlign w:val="center"/>
          </w:tcPr>
          <w:p>
            <w:pPr>
              <w:spacing w:after="0"/>
            </w:pPr>
            <w:r>
              <w:rPr>
                <w:rFonts w:ascii="Calibri" w:hAnsi="Calibri" w:eastAsia="Microsoft YaHei"/>
                <w:b/>
                <w:color w:val="0B2545"/>
                <w:sz w:val="19"/>
              </w:rPr>
              <w:t>方法</w:t>
            </w:r>
          </w:p>
        </w:tc>
        <w:tc>
          <w:tcPr>
            <w:tcW w:type="dxa" w:w="1300"/>
            <w:shd w:fill="F4F6F9"/>
            <w:tcMar>
              <w:top w:w="80" w:type="dxa"/>
              <w:start w:w="120" w:type="dxa"/>
              <w:bottom w:w="80" w:type="dxa"/>
              <w:end w:w="120" w:type="dxa"/>
            </w:tcMar>
            <w:vAlign w:val="center"/>
          </w:tcPr>
          <w:p>
            <w:pPr>
              <w:spacing w:after="0"/>
            </w:pPr>
            <w:r>
              <w:rPr>
                <w:rFonts w:ascii="Calibri" w:hAnsi="Calibri" w:eastAsia="Microsoft YaHei"/>
                <w:b/>
                <w:color w:val="0B2545"/>
                <w:sz w:val="19"/>
              </w:rPr>
              <w:t>Top-1</w:t>
            </w:r>
          </w:p>
        </w:tc>
        <w:tc>
          <w:tcPr>
            <w:tcW w:type="dxa" w:w="1300"/>
            <w:shd w:fill="F4F6F9"/>
            <w:tcMar>
              <w:top w:w="80" w:type="dxa"/>
              <w:start w:w="120" w:type="dxa"/>
              <w:bottom w:w="80" w:type="dxa"/>
              <w:end w:w="120" w:type="dxa"/>
            </w:tcMar>
            <w:vAlign w:val="center"/>
          </w:tcPr>
          <w:p>
            <w:pPr>
              <w:spacing w:after="0"/>
            </w:pPr>
            <w:r>
              <w:rPr>
                <w:rFonts w:ascii="Calibri" w:hAnsi="Calibri" w:eastAsia="Microsoft YaHei"/>
                <w:b/>
                <w:color w:val="0B2545"/>
                <w:sz w:val="19"/>
              </w:rPr>
              <w:t>Top-3</w:t>
            </w:r>
          </w:p>
        </w:tc>
        <w:tc>
          <w:tcPr>
            <w:tcW w:type="dxa" w:w="1300"/>
            <w:shd w:fill="F4F6F9"/>
            <w:tcMar>
              <w:top w:w="80" w:type="dxa"/>
              <w:start w:w="120" w:type="dxa"/>
              <w:bottom w:w="80" w:type="dxa"/>
              <w:end w:w="120" w:type="dxa"/>
            </w:tcMar>
            <w:vAlign w:val="center"/>
          </w:tcPr>
          <w:p>
            <w:pPr>
              <w:spacing w:after="0"/>
            </w:pPr>
            <w:r>
              <w:rPr>
                <w:rFonts w:ascii="Calibri" w:hAnsi="Calibri" w:eastAsia="Microsoft YaHei"/>
                <w:b/>
                <w:color w:val="0B2545"/>
                <w:sz w:val="19"/>
              </w:rPr>
              <w:t>Top-5</w:t>
            </w:r>
          </w:p>
        </w:tc>
        <w:tc>
          <w:tcPr>
            <w:tcW w:type="dxa" w:w="1600"/>
            <w:shd w:fill="F4F6F9"/>
            <w:tcMar>
              <w:top w:w="80" w:type="dxa"/>
              <w:start w:w="120" w:type="dxa"/>
              <w:bottom w:w="80" w:type="dxa"/>
              <w:end w:w="120" w:type="dxa"/>
            </w:tcMar>
            <w:vAlign w:val="center"/>
          </w:tcPr>
          <w:p>
            <w:pPr>
              <w:spacing w:after="0"/>
            </w:pPr>
            <w:r>
              <w:rPr>
                <w:rFonts w:ascii="Calibri" w:hAnsi="Calibri" w:eastAsia="Microsoft YaHei"/>
                <w:b/>
                <w:color w:val="0B2545"/>
                <w:sz w:val="19"/>
              </w:rPr>
              <w:t>MRR</w:t>
            </w:r>
          </w:p>
        </w:tc>
        <w:tc>
          <w:tcPr>
            <w:tcW w:type="dxa" w:w="1660"/>
            <w:shd w:fill="F4F6F9"/>
            <w:tcMar>
              <w:top w:w="80" w:type="dxa"/>
              <w:start w:w="120" w:type="dxa"/>
              <w:bottom w:w="80" w:type="dxa"/>
              <w:end w:w="120" w:type="dxa"/>
            </w:tcMar>
            <w:vAlign w:val="center"/>
          </w:tcPr>
          <w:p>
            <w:pPr>
              <w:spacing w:after="0"/>
            </w:pPr>
            <w:r>
              <w:rPr>
                <w:rFonts w:ascii="Calibri" w:hAnsi="Calibri" w:eastAsia="Microsoft YaHei"/>
                <w:b/>
                <w:color w:val="0B2545"/>
                <w:sz w:val="19"/>
              </w:rPr>
              <w:t>EXAM</w:t>
            </w:r>
          </w:p>
        </w:tc>
      </w:tr>
      <w:tr>
        <w:tc>
          <w:tcPr>
            <w:tcW w:type="dxa" w:w="22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graph</w:t>
            </w:r>
          </w:p>
        </w:tc>
        <w:tc>
          <w:tcPr>
            <w:tcW w:type="dxa" w:w="13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0.300</w:t>
            </w:r>
          </w:p>
        </w:tc>
        <w:tc>
          <w:tcPr>
            <w:tcW w:type="dxa" w:w="13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0.400</w:t>
            </w:r>
          </w:p>
        </w:tc>
        <w:tc>
          <w:tcPr>
            <w:tcW w:type="dxa" w:w="13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0.400</w:t>
            </w:r>
          </w:p>
        </w:tc>
        <w:tc>
          <w:tcPr>
            <w:tcW w:type="dxa" w:w="16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0.365</w:t>
            </w:r>
          </w:p>
        </w:tc>
        <w:tc>
          <w:tcPr>
            <w:tcW w:type="dxa" w:w="166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0.147</w:t>
            </w:r>
          </w:p>
        </w:tc>
      </w:tr>
      <w:tr>
        <w:tc>
          <w:tcPr>
            <w:tcW w:type="dxa" w:w="22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pattern</w:t>
            </w:r>
          </w:p>
        </w:tc>
        <w:tc>
          <w:tcPr>
            <w:tcW w:type="dxa" w:w="13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0.200</w:t>
            </w:r>
          </w:p>
        </w:tc>
        <w:tc>
          <w:tcPr>
            <w:tcW w:type="dxa" w:w="13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0.300</w:t>
            </w:r>
          </w:p>
        </w:tc>
        <w:tc>
          <w:tcPr>
            <w:tcW w:type="dxa" w:w="13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0.300</w:t>
            </w:r>
          </w:p>
        </w:tc>
        <w:tc>
          <w:tcPr>
            <w:tcW w:type="dxa" w:w="16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0.269</w:t>
            </w:r>
          </w:p>
        </w:tc>
        <w:tc>
          <w:tcPr>
            <w:tcW w:type="dxa" w:w="166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0.189</w:t>
            </w:r>
          </w:p>
        </w:tc>
      </w:tr>
      <w:tr>
        <w:tc>
          <w:tcPr>
            <w:tcW w:type="dxa" w:w="22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FormulaGuard v2</w:t>
            </w:r>
          </w:p>
        </w:tc>
        <w:tc>
          <w:tcPr>
            <w:tcW w:type="dxa" w:w="13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0.200</w:t>
            </w:r>
          </w:p>
        </w:tc>
        <w:tc>
          <w:tcPr>
            <w:tcW w:type="dxa" w:w="13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0.200</w:t>
            </w:r>
          </w:p>
        </w:tc>
        <w:tc>
          <w:tcPr>
            <w:tcW w:type="dxa" w:w="13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0.250</w:t>
            </w:r>
          </w:p>
        </w:tc>
        <w:tc>
          <w:tcPr>
            <w:tcW w:type="dxa" w:w="16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0.238</w:t>
            </w:r>
          </w:p>
        </w:tc>
        <w:tc>
          <w:tcPr>
            <w:tcW w:type="dxa" w:w="166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0.207</w:t>
            </w:r>
          </w:p>
        </w:tc>
      </w:tr>
      <w:tr>
        <w:tc>
          <w:tcPr>
            <w:tcW w:type="dxa" w:w="22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FormulaGuard v3</w:t>
            </w:r>
          </w:p>
        </w:tc>
        <w:tc>
          <w:tcPr>
            <w:tcW w:type="dxa" w:w="13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0.200</w:t>
            </w:r>
          </w:p>
        </w:tc>
        <w:tc>
          <w:tcPr>
            <w:tcW w:type="dxa" w:w="13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0.250</w:t>
            </w:r>
          </w:p>
        </w:tc>
        <w:tc>
          <w:tcPr>
            <w:tcW w:type="dxa" w:w="13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0.300</w:t>
            </w:r>
          </w:p>
        </w:tc>
        <w:tc>
          <w:tcPr>
            <w:tcW w:type="dxa" w:w="16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0.250</w:t>
            </w:r>
          </w:p>
        </w:tc>
        <w:tc>
          <w:tcPr>
            <w:tcW w:type="dxa" w:w="166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0.240</w:t>
            </w:r>
          </w:p>
        </w:tc>
      </w:tr>
      <w:tr>
        <w:tc>
          <w:tcPr>
            <w:tcW w:type="dxa" w:w="22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v3-real B</w:t>
            </w:r>
          </w:p>
        </w:tc>
        <w:tc>
          <w:tcPr>
            <w:tcW w:type="dxa" w:w="13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0.200</w:t>
            </w:r>
          </w:p>
        </w:tc>
        <w:tc>
          <w:tcPr>
            <w:tcW w:type="dxa" w:w="13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0.200</w:t>
            </w:r>
          </w:p>
        </w:tc>
        <w:tc>
          <w:tcPr>
            <w:tcW w:type="dxa" w:w="13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0.250</w:t>
            </w:r>
          </w:p>
        </w:tc>
        <w:tc>
          <w:tcPr>
            <w:tcW w:type="dxa" w:w="16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0.238</w:t>
            </w:r>
          </w:p>
        </w:tc>
        <w:tc>
          <w:tcPr>
            <w:tcW w:type="dxa" w:w="166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0.207</w:t>
            </w:r>
          </w:p>
        </w:tc>
      </w:tr>
    </w:tbl>
    <w:p>
      <w:pPr>
        <w:spacing w:after="40"/>
      </w:pPr>
    </w:p>
    <w:p>
      <w:pPr>
        <w:spacing w:before="0" w:after="160"/>
      </w:pPr>
      <w:r>
        <w:rPr>
          <w:rFonts w:ascii="Calibri" w:hAnsi="Calibri" w:eastAsia="Microsoft YaHei"/>
          <w:i w:val="0"/>
        </w:rPr>
        <w:t>20 个未见事件、18 份工作簿和 200 条 event-method 结果记录均完整，测试清单哈希与冻结配置一致。图基线 MRR 为 0.365，v3 为 0.250。v3 相对 v2 的 MRR 差为 +0.0116，95% bootstrap CI 为 [-0.1318, 0.1588]；相对图基线的差为 -0.1154，CI 为 [-0.3226, 0.0803]。因此，真实盲测不支持 v3 在自然工作簿上稳定超过图基线或 v2。</w:t>
      </w:r>
    </w:p>
    <w:p>
      <w:pPr>
        <w:spacing w:before="0" w:after="160"/>
      </w:pPr>
      <w:r>
        <w:rPr>
          <w:rFonts w:ascii="Calibri" w:hAnsi="Calibri" w:eastAsia="Microsoft YaHei"/>
          <w:i w:val="0"/>
        </w:rPr>
        <w:t>正面案例中，681 公式工作簿的 jul01!AL44 具有正净改善候选 =SUM(AL12:AL42)，v3 将其排至第 1。关键失败案例中，5156 公式工作簿的 OCT 01!T39 被 graph 排第 1、v2 排第 9，而 v3 因候选无净改善排到第 368；v3-real B 保留 v2 的第 9 名并标为 pattern_only。这一对称案例说明“没有检测到内部改善”不能等同于“源错误不存在”。</w:t>
      </w:r>
    </w:p>
    <w:p>
      <w:pPr>
        <w:pStyle w:val="Heading2"/>
      </w:pPr>
      <w:r>
        <w:t>6.4 单工作簿性能：适合离线审计</w:t>
      </w:r>
    </w:p>
    <w:tbl>
      <w:tblPr>
        <w:tblStyle w:val="TableGrid"/>
        <w:tblW w:type="dxa" w:w="9360"/>
        <w:jc w:val="left"/>
        <w:tblLayout w:type="fixed"/>
        <w:tblLook w:firstColumn="1" w:firstRow="1" w:lastColumn="0" w:lastRow="0" w:noHBand="0" w:noVBand="1" w:val="04A0"/>
        <w:tblInd w:w="120" w:type="dxa"/>
      </w:tblPr>
      <w:tblGrid>
        <w:gridCol w:w="1600"/>
        <w:gridCol w:w="1300"/>
        <w:gridCol w:w="2200"/>
        <w:gridCol w:w="2200"/>
        <w:gridCol w:w="2060"/>
      </w:tblGrid>
      <w:tr>
        <w:tc>
          <w:tcPr>
            <w:tcW w:type="dxa" w:w="1600"/>
            <w:shd w:fill="F4F6F9"/>
            <w:tcMar>
              <w:top w:w="80" w:type="dxa"/>
              <w:start w:w="120" w:type="dxa"/>
              <w:bottom w:w="80" w:type="dxa"/>
              <w:end w:w="120" w:type="dxa"/>
            </w:tcMar>
            <w:vAlign w:val="center"/>
          </w:tcPr>
          <w:p>
            <w:pPr>
              <w:spacing w:after="0"/>
            </w:pPr>
            <w:r>
              <w:rPr>
                <w:rFonts w:ascii="Calibri" w:hAnsi="Calibri" w:eastAsia="Microsoft YaHei"/>
                <w:b/>
                <w:color w:val="0B2545"/>
                <w:sz w:val="19"/>
              </w:rPr>
              <w:t>公式数</w:t>
            </w:r>
          </w:p>
        </w:tc>
        <w:tc>
          <w:tcPr>
            <w:tcW w:type="dxa" w:w="1300"/>
            <w:shd w:fill="F4F6F9"/>
            <w:tcMar>
              <w:top w:w="80" w:type="dxa"/>
              <w:start w:w="120" w:type="dxa"/>
              <w:bottom w:w="80" w:type="dxa"/>
              <w:end w:w="120" w:type="dxa"/>
            </w:tcMar>
            <w:vAlign w:val="center"/>
          </w:tcPr>
          <w:p>
            <w:pPr>
              <w:spacing w:after="0"/>
            </w:pPr>
            <w:r>
              <w:rPr>
                <w:rFonts w:ascii="Calibri" w:hAnsi="Calibri" w:eastAsia="Microsoft YaHei"/>
                <w:b/>
                <w:color w:val="0B2545"/>
                <w:sz w:val="19"/>
              </w:rPr>
              <w:t>重复</w:t>
            </w:r>
          </w:p>
        </w:tc>
        <w:tc>
          <w:tcPr>
            <w:tcW w:type="dxa" w:w="2200"/>
            <w:shd w:fill="F4F6F9"/>
            <w:tcMar>
              <w:top w:w="80" w:type="dxa"/>
              <w:start w:w="120" w:type="dxa"/>
              <w:bottom w:w="80" w:type="dxa"/>
              <w:end w:w="120" w:type="dxa"/>
            </w:tcMar>
            <w:vAlign w:val="center"/>
          </w:tcPr>
          <w:p>
            <w:pPr>
              <w:spacing w:after="0"/>
            </w:pPr>
            <w:r>
              <w:rPr>
                <w:rFonts w:ascii="Calibri" w:hAnsi="Calibri" w:eastAsia="Microsoft YaHei"/>
                <w:b/>
                <w:color w:val="0B2545"/>
                <w:sz w:val="19"/>
              </w:rPr>
              <w:t>解析中位数（秒）</w:t>
            </w:r>
          </w:p>
        </w:tc>
        <w:tc>
          <w:tcPr>
            <w:tcW w:type="dxa" w:w="2200"/>
            <w:shd w:fill="F4F6F9"/>
            <w:tcMar>
              <w:top w:w="80" w:type="dxa"/>
              <w:start w:w="120" w:type="dxa"/>
              <w:bottom w:w="80" w:type="dxa"/>
              <w:end w:w="120" w:type="dxa"/>
            </w:tcMar>
            <w:vAlign w:val="center"/>
          </w:tcPr>
          <w:p>
            <w:pPr>
              <w:spacing w:after="0"/>
            </w:pPr>
            <w:r>
              <w:rPr>
                <w:rFonts w:ascii="Calibri" w:hAnsi="Calibri" w:eastAsia="Microsoft YaHei"/>
                <w:b/>
                <w:color w:val="0B2545"/>
                <w:sz w:val="19"/>
              </w:rPr>
              <w:t>定位中位数（秒）</w:t>
            </w:r>
          </w:p>
        </w:tc>
        <w:tc>
          <w:tcPr>
            <w:tcW w:type="dxa" w:w="2060"/>
            <w:shd w:fill="F4F6F9"/>
            <w:tcMar>
              <w:top w:w="80" w:type="dxa"/>
              <w:start w:w="120" w:type="dxa"/>
              <w:bottom w:w="80" w:type="dxa"/>
              <w:end w:w="120" w:type="dxa"/>
            </w:tcMar>
            <w:vAlign w:val="center"/>
          </w:tcPr>
          <w:p>
            <w:pPr>
              <w:spacing w:after="0"/>
            </w:pPr>
            <w:r>
              <w:rPr>
                <w:rFonts w:ascii="Calibri" w:hAnsi="Calibri" w:eastAsia="Microsoft YaHei"/>
                <w:b/>
                <w:color w:val="0B2545"/>
                <w:sz w:val="19"/>
              </w:rPr>
              <w:t>定位 P95（秒）</w:t>
            </w:r>
          </w:p>
        </w:tc>
      </w:tr>
      <w:tr>
        <w:tc>
          <w:tcPr>
            <w:tcW w:type="dxa" w:w="16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100</w:t>
            </w:r>
          </w:p>
        </w:tc>
        <w:tc>
          <w:tcPr>
            <w:tcW w:type="dxa" w:w="13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5</w:t>
            </w:r>
          </w:p>
        </w:tc>
        <w:tc>
          <w:tcPr>
            <w:tcW w:type="dxa" w:w="22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0.0025</w:t>
            </w:r>
          </w:p>
        </w:tc>
        <w:tc>
          <w:tcPr>
            <w:tcW w:type="dxa" w:w="22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12.17</w:t>
            </w:r>
          </w:p>
        </w:tc>
        <w:tc>
          <w:tcPr>
            <w:tcW w:type="dxa" w:w="206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13.32</w:t>
            </w:r>
          </w:p>
        </w:tc>
      </w:tr>
      <w:tr>
        <w:tc>
          <w:tcPr>
            <w:tcW w:type="dxa" w:w="16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500</w:t>
            </w:r>
          </w:p>
        </w:tc>
        <w:tc>
          <w:tcPr>
            <w:tcW w:type="dxa" w:w="13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5</w:t>
            </w:r>
          </w:p>
        </w:tc>
        <w:tc>
          <w:tcPr>
            <w:tcW w:type="dxa" w:w="22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0.0094</w:t>
            </w:r>
          </w:p>
        </w:tc>
        <w:tc>
          <w:tcPr>
            <w:tcW w:type="dxa" w:w="22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67.03</w:t>
            </w:r>
          </w:p>
        </w:tc>
        <w:tc>
          <w:tcPr>
            <w:tcW w:type="dxa" w:w="206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69.03</w:t>
            </w:r>
          </w:p>
        </w:tc>
      </w:tr>
      <w:tr>
        <w:tc>
          <w:tcPr>
            <w:tcW w:type="dxa" w:w="16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1000</w:t>
            </w:r>
          </w:p>
        </w:tc>
        <w:tc>
          <w:tcPr>
            <w:tcW w:type="dxa" w:w="13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5</w:t>
            </w:r>
          </w:p>
        </w:tc>
        <w:tc>
          <w:tcPr>
            <w:tcW w:type="dxa" w:w="22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0.0208</w:t>
            </w:r>
          </w:p>
        </w:tc>
        <w:tc>
          <w:tcPr>
            <w:tcW w:type="dxa" w:w="22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140.51</w:t>
            </w:r>
          </w:p>
        </w:tc>
        <w:tc>
          <w:tcPr>
            <w:tcW w:type="dxa" w:w="206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150.98</w:t>
            </w:r>
          </w:p>
        </w:tc>
      </w:tr>
      <w:tr>
        <w:tc>
          <w:tcPr>
            <w:tcW w:type="dxa" w:w="16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5000</w:t>
            </w:r>
          </w:p>
        </w:tc>
        <w:tc>
          <w:tcPr>
            <w:tcW w:type="dxa" w:w="13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5</w:t>
            </w:r>
          </w:p>
        </w:tc>
        <w:tc>
          <w:tcPr>
            <w:tcW w:type="dxa" w:w="22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0.0799</w:t>
            </w:r>
          </w:p>
        </w:tc>
        <w:tc>
          <w:tcPr>
            <w:tcW w:type="dxa" w:w="220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726.24</w:t>
            </w:r>
          </w:p>
        </w:tc>
        <w:tc>
          <w:tcPr>
            <w:tcW w:type="dxa" w:w="2060"/>
            <w:tcMar>
              <w:top w:w="80" w:type="dxa"/>
              <w:start w:w="120" w:type="dxa"/>
              <w:bottom w:w="80" w:type="dxa"/>
              <w:end w:w="120" w:type="dxa"/>
            </w:tcMar>
            <w:vAlign w:val="center"/>
          </w:tcPr>
          <w:p>
            <w:pPr>
              <w:spacing w:after="0" w:line="259" w:lineRule="auto"/>
            </w:pPr>
            <w:r>
              <w:rPr>
                <w:rFonts w:ascii="Calibri" w:hAnsi="Calibri" w:eastAsia="Microsoft YaHei"/>
                <w:color w:val="202020"/>
                <w:sz w:val="18"/>
              </w:rPr>
              <w:t>733.79</w:t>
            </w:r>
          </w:p>
        </w:tc>
      </w:tr>
    </w:tbl>
    <w:p>
      <w:pPr>
        <w:spacing w:after="40"/>
      </w:pPr>
    </w:p>
    <w:p>
      <w:pPr>
        <w:spacing w:before="0" w:after="160"/>
      </w:pPr>
      <w:r>
        <w:rPr>
          <w:rFonts w:ascii="Calibri" w:hAnsi="Calibri" w:eastAsia="Microsoft YaHei"/>
          <w:i w:val="0"/>
        </w:rPr>
        <w:t>100、500、1000、5000 公式的定位中位数分别为 12.17、67.03、140.51、726.24 秒。解析时间均小于 0.08 秒，主要成本来自候选反事实评估。当前实现可用于离线审计或批量风险筛查，但 5000 公式约 12 分钟，不能称为实时 Excel 插件。</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eastAsia="Microsoft YaHei"/>
                <w:b/>
                <w:color w:val="1F4D78"/>
                <w:sz w:val="20"/>
              </w:rPr>
              <w:t xml:space="preserve">批量吞吐（待补充） </w:t>
            </w:r>
            <w:r>
              <w:rPr>
                <w:rFonts w:ascii="Calibri" w:hAnsi="Calibri" w:eastAsia="Microsoft YaHei"/>
                <w:color w:val="26384D"/>
                <w:sz w:val="20"/>
              </w:rPr>
              <w:t>多核批量吞吐将使用独立的 --mode throughput --workers 16 协议写入单独表格。它不会覆盖或改变以上隔离单表延迟，也不参与算法准确率结论。</w:t>
            </w:r>
          </w:p>
        </w:tc>
      </w:tr>
    </w:tbl>
    <w:p>
      <w:pPr>
        <w:spacing w:after="20"/>
      </w:pPr>
    </w:p>
    <w:p>
      <w:pPr>
        <w:pStyle w:val="Heading1"/>
      </w:pPr>
      <w:r>
        <w:t>7 真实性、局限与有效性威胁</w:t>
      </w:r>
    </w:p>
    <w:p>
      <w:pPr>
        <w:pStyle w:val="ListBullet"/>
        <w:spacing w:after="80" w:line="290" w:lineRule="auto"/>
      </w:pPr>
      <w:r>
        <w:rPr>
          <w:rFonts w:ascii="Calibri" w:hAnsi="Calibri" w:eastAsia="Microsoft YaHei"/>
          <w:color w:val="202020"/>
          <w:sz w:val="22"/>
        </w:rPr>
        <w:t>构念有效性：内部一致性下降是候选支持证据，不等于业务真值或严格的因果可识别效应。</w:t>
      </w:r>
    </w:p>
    <w:p>
      <w:pPr>
        <w:pStyle w:val="ListBullet"/>
        <w:spacing w:after="80" w:line="290" w:lineRule="auto"/>
      </w:pPr>
      <w:r>
        <w:rPr>
          <w:rFonts w:ascii="Calibri" w:hAnsi="Calibri" w:eastAsia="Microsoft YaHei"/>
          <w:color w:val="202020"/>
          <w:sz w:val="22"/>
        </w:rPr>
        <w:t>内部有效性：合成变异器与候选修复器镜像匹配率为 100%，故合成满分仅为机制证据。</w:t>
      </w:r>
    </w:p>
    <w:p>
      <w:pPr>
        <w:pStyle w:val="ListBullet"/>
        <w:spacing w:after="80" w:line="290" w:lineRule="auto"/>
      </w:pPr>
      <w:r>
        <w:rPr>
          <w:rFonts w:ascii="Calibri" w:hAnsi="Calibri" w:eastAsia="Microsoft YaHei"/>
          <w:color w:val="202020"/>
          <w:sz w:val="22"/>
        </w:rPr>
        <w:t>外部有效性：真实 Enron 测试仅 20 事件，且 18 个工作簿超过 100 公式干预上限；宏、外部链接、动态数组和大量高级函数尚不支持。</w:t>
      </w:r>
    </w:p>
    <w:p>
      <w:pPr>
        <w:pStyle w:val="ListBullet"/>
        <w:spacing w:after="80" w:line="290" w:lineRule="auto"/>
      </w:pPr>
      <w:r>
        <w:rPr>
          <w:rFonts w:ascii="Calibri" w:hAnsi="Calibri" w:eastAsia="Microsoft YaHei"/>
          <w:color w:val="202020"/>
          <w:sz w:val="22"/>
        </w:rPr>
        <w:t>统计有效性：真实集 bootstrap 区间跨 0 时不声称稳定优于；开发集不与冻结测试集合并调参。</w:t>
      </w:r>
    </w:p>
    <w:p>
      <w:pPr>
        <w:pStyle w:val="ListBullet"/>
        <w:spacing w:after="80" w:line="290" w:lineRule="auto"/>
      </w:pPr>
      <w:r>
        <w:rPr>
          <w:rFonts w:ascii="Calibri" w:hAnsi="Calibri" w:eastAsia="Microsoft YaHei"/>
          <w:color w:val="202020"/>
          <w:sz w:val="22"/>
        </w:rPr>
        <w:t>可复现性：代码、冻结配置、公共结果文件、环境记录和哈希审计保留；独立小样本盲测工具已准备但尚未采集，不得虚构其结果。</w:t>
      </w:r>
    </w:p>
    <w:p>
      <w:pPr>
        <w:pStyle w:val="Heading1"/>
      </w:pPr>
      <w:r>
        <w:t>8 结论</w:t>
      </w:r>
    </w:p>
    <w:p>
      <w:pPr>
        <w:spacing w:before="0" w:after="160"/>
      </w:pPr>
      <w:r>
        <w:rPr>
          <w:rFonts w:ascii="Calibri" w:hAnsi="Calibri" w:eastAsia="Microsoft YaHei"/>
          <w:i w:val="0"/>
        </w:rPr>
        <w:t>FormulaGuard 把局部公式异常、候选小修复和下游依赖区域的内部变化连接为一个无输出真值的审查排序流程。它最可靠的贡献不是“自动证明错误”或“真实集领先”，而是把可解释证据、证据不足时的降级规则、生成器耦合审计和真实盲测负结果放进同一条可复核证据链。下一步应在不触碰冻结 Enron 测试结果的前提下，完成批量吞吐与独立人类盲测，以检验其在生成器之外的可用性与人工审查负担。</w:t>
      </w:r>
    </w:p>
    <w:p>
      <w:pPr>
        <w:pStyle w:val="Heading1"/>
      </w:pPr>
      <w:r>
        <w:t>参考文献</w:t>
      </w:r>
    </w:p>
    <w:p>
      <w:pPr>
        <w:spacing w:before="0" w:after="60"/>
      </w:pPr>
      <w:r>
        <w:rPr>
          <w:rFonts w:ascii="Calibri" w:hAnsi="Calibri" w:eastAsia="Microsoft YaHei"/>
          <w:i w:val="0"/>
          <w:sz w:val="19"/>
        </w:rPr>
        <w:t>[1] R. Abraham and M. Erwig. “GoalDebug: A Spreadsheet Debugger for End</w:t>
      </w:r>
    </w:p>
    <w:p>
      <w:pPr>
        <w:spacing w:before="0" w:after="60"/>
      </w:pPr>
      <w:r>
        <w:rPr>
          <w:rFonts w:ascii="Calibri" w:hAnsi="Calibri" w:eastAsia="Microsoft YaHei"/>
          <w:i w:val="0"/>
          <w:sz w:val="19"/>
        </w:rPr>
        <w:t>[官方论文页](https://web.engr.oregonstate.edu/~erwig/GoalDebug/)</w:t>
      </w:r>
    </w:p>
    <w:p>
      <w:pPr>
        <w:spacing w:before="0" w:after="60"/>
      </w:pPr>
      <w:r>
        <w:rPr>
          <w:rFonts w:ascii="Calibri" w:hAnsi="Calibri" w:eastAsia="Microsoft YaHei"/>
          <w:i w:val="0"/>
          <w:sz w:val="19"/>
        </w:rPr>
        <w:t>[2] B. Hofer, A. Riboira, F. Wotawa, R. Abreu, and E. Getzner. “On the</w:t>
      </w:r>
    </w:p>
    <w:p>
      <w:pPr>
        <w:spacing w:before="0" w:after="60"/>
      </w:pPr>
      <w:r>
        <w:rPr>
          <w:rFonts w:ascii="Calibri" w:hAnsi="Calibri" w:eastAsia="Microsoft YaHei"/>
          <w:i w:val="0"/>
          <w:sz w:val="19"/>
        </w:rPr>
        <w:t>[机构记录](https://researchportal.ulisboa.pt/en/publications/on-the-empirical-evaluation-of-fault-localization-techniques-for-/)</w:t>
      </w:r>
    </w:p>
    <w:p>
      <w:pPr>
        <w:spacing w:before="0" w:after="60"/>
      </w:pPr>
      <w:r>
        <w:rPr>
          <w:rFonts w:ascii="Calibri" w:hAnsi="Calibri" w:eastAsia="Microsoft YaHei"/>
          <w:i w:val="0"/>
          <w:sz w:val="19"/>
        </w:rPr>
        <w:t>[3] D. W. Barowy, E. D. Berger, and B. G. Zorn. “ExceLint: Automatically</w:t>
      </w:r>
    </w:p>
    <w:p>
      <w:pPr>
        <w:spacing w:before="0" w:after="60"/>
      </w:pPr>
      <w:r>
        <w:rPr>
          <w:rFonts w:ascii="Calibri" w:hAnsi="Calibri" w:eastAsia="Microsoft YaHei"/>
          <w:i w:val="0"/>
          <w:sz w:val="19"/>
        </w:rPr>
        <w:t>[作者/机构论文页](https://www.microsoft.com/en-us/research/publication/excelint-automatically-finding-spreadsheet-formula-errors/)</w:t>
      </w:r>
    </w:p>
    <w:p>
      <w:pPr>
        <w:spacing w:before="0" w:after="60"/>
      </w:pPr>
      <w:r>
        <w:rPr>
          <w:rFonts w:ascii="Calibri" w:hAnsi="Calibri" w:eastAsia="Microsoft YaHei"/>
          <w:i w:val="0"/>
          <w:sz w:val="19"/>
        </w:rPr>
        <w:t>[4] Y. Huang, C. Xu, Y. Jiang, H. Wang, and D. Li. “WARDER: Towards</w:t>
      </w:r>
    </w:p>
    <w:p>
      <w:pPr>
        <w:spacing w:before="0" w:after="60"/>
      </w:pPr>
      <w:r>
        <w:rPr>
          <w:rFonts w:ascii="Calibri" w:hAnsi="Calibri" w:eastAsia="Microsoft YaHei"/>
          <w:i w:val="0"/>
          <w:sz w:val="19"/>
        </w:rPr>
        <w:t>[书目记录](https://dblp.org/rec/journals/jss/HuangXJWL20)</w:t>
      </w:r>
    </w:p>
    <w:p>
      <w:pPr>
        <w:spacing w:before="0" w:after="60"/>
      </w:pPr>
      <w:r>
        <w:rPr>
          <w:rFonts w:ascii="Calibri" w:hAnsi="Calibri" w:eastAsia="Microsoft YaHei"/>
          <w:i w:val="0"/>
          <w:sz w:val="19"/>
        </w:rPr>
        <w:t>[5] B. Yang et al. “SEDMR: A Spreadsheet Error Detection Approach Based</w:t>
      </w:r>
    </w:p>
    <w:p>
      <w:pPr>
        <w:spacing w:before="0" w:after="60"/>
      </w:pPr>
      <w:r>
        <w:rPr>
          <w:rFonts w:ascii="Calibri" w:hAnsi="Calibri" w:eastAsia="Microsoft YaHei"/>
          <w:i w:val="0"/>
          <w:sz w:val="19"/>
        </w:rPr>
        <w:t>[出版社记录](https://www.sciencedirect.com/science/article/pii/S0950584926000637)</w:t>
      </w:r>
    </w:p>
    <w:p>
      <w:pPr>
        <w:spacing w:before="0" w:after="60"/>
      </w:pPr>
      <w:r>
        <w:rPr>
          <w:rFonts w:ascii="Calibri" w:hAnsi="Calibri" w:eastAsia="Microsoft YaHei"/>
          <w:i w:val="0"/>
          <w:sz w:val="19"/>
        </w:rPr>
        <w:t>[6] T. Schmitz and D. Jannach. *Enron Error Corpus*. Spreadsheet Research</w:t>
      </w:r>
    </w:p>
    <w:p>
      <w:pPr>
        <w:spacing w:before="0" w:after="60"/>
      </w:pPr>
      <w:r>
        <w:rPr>
          <w:rFonts w:ascii="Calibri" w:hAnsi="Calibri" w:eastAsia="Microsoft YaHei"/>
          <w:i w:val="0"/>
          <w:sz w:val="19"/>
        </w:rPr>
        <w:t>[官方数据页](https://spreadsheets.sai.tugraz.at/index.php/corpora-for-benchmarking/enron-error-corpus/)</w:t>
      </w:r>
    </w:p>
    <w:p>
      <w:pPr>
        <w:spacing w:before="0" w:after="60"/>
      </w:pPr>
      <w:r>
        <w:rPr>
          <w:rFonts w:ascii="Calibri" w:hAnsi="Calibri" w:eastAsia="Microsoft YaHei"/>
          <w:i w:val="0"/>
          <w:sz w:val="19"/>
        </w:rPr>
        <w:t>[7] F. Hermans and E. Murphy-Hill. “Enron’s Spreadsheets and Related</w:t>
      </w:r>
    </w:p>
    <w:p>
      <w:r>
        <w:br w:type="page"/>
      </w:r>
    </w:p>
    <w:p>
      <w:pPr>
        <w:pStyle w:val="Heading1"/>
      </w:pPr>
      <w:r>
        <w:t>附录 A：复现与提交审计</w:t>
      </w:r>
    </w:p>
    <w:p>
      <w:pPr>
        <w:spacing w:before="0" w:after="160"/>
      </w:pPr>
      <w:r>
        <w:rPr>
          <w:rFonts w:ascii="Calibri" w:hAnsi="Calibri" w:eastAsia="Microsoft YaHei"/>
          <w:i w:val="0"/>
        </w:rPr>
        <w:t>正式实验结果由 scripts/audit_v3_delivery.py 统一审计。当前审计已通过合成 full、LibreOffice、Enron 冻测、负面结论保留、单表延迟和论文证据文件；批量吞吐未生成时，审计器必须保持不通过状态。每一项结果由 CSV/JSON 自动重建，禁止从截图或手工抄写得到。</w:t>
      </w:r>
    </w:p>
    <w:p>
      <w:pPr>
        <w:pStyle w:val="Heading2"/>
      </w:pPr>
      <w:r>
        <w:t>A.1 关键运行命令</w:t>
      </w:r>
    </w:p>
    <w:p>
      <w:pPr>
        <w:spacing w:after="80"/>
        <w:ind w:left="403"/>
      </w:pPr>
      <w:r>
        <w:rPr>
          <w:rFonts w:ascii="Calibri" w:hAnsi="Calibri" w:eastAsia="Microsoft YaHei"/>
          <w:color w:val="1F4D78"/>
          <w:sz w:val="18"/>
        </w:rPr>
        <w:t>run_pipeline.cmd full -Ablations -WithSensitivity -WithPerformance -WithLibreOffice</w:t>
      </w:r>
    </w:p>
    <w:p>
      <w:pPr>
        <w:spacing w:after="80"/>
        <w:ind w:left="403"/>
      </w:pPr>
      <w:r>
        <w:rPr>
          <w:rFonts w:ascii="Calibri" w:hAnsi="Calibri" w:eastAsia="Microsoft YaHei"/>
          <w:color w:val="1F4D78"/>
          <w:sz w:val="18"/>
        </w:rPr>
        <w:t>run_enron_test.cmd</w:t>
      </w:r>
    </w:p>
    <w:p>
      <w:pPr>
        <w:spacing w:after="80"/>
        <w:ind w:left="403"/>
      </w:pPr>
      <w:r>
        <w:rPr>
          <w:rFonts w:ascii="Calibri" w:hAnsi="Calibri" w:eastAsia="Microsoft YaHei"/>
          <w:color w:val="1F4D78"/>
          <w:sz w:val="18"/>
        </w:rPr>
        <w:t>python scripts/run_performance.py --input data/scaling --output results/v3_full/performance_v3_latency.csv --methods formulaguard_v3 --candidate-limit 15 --repeats 5 --mode latency --workers 1</w:t>
      </w:r>
    </w:p>
    <w:p>
      <w:pPr>
        <w:spacing w:after="80"/>
        <w:ind w:left="403"/>
      </w:pPr>
      <w:r>
        <w:rPr>
          <w:rFonts w:ascii="Calibri" w:hAnsi="Calibri" w:eastAsia="Microsoft YaHei"/>
          <w:color w:val="1F4D78"/>
          <w:sz w:val="18"/>
        </w:rPr>
        <w:t>python scripts/audit_v3_delivery.py --root . --strict</w:t>
      </w:r>
    </w:p>
    <w:p>
      <w:pPr>
        <w:pStyle w:val="Heading2"/>
      </w:pPr>
      <w:r>
        <w:t>A.2 研究者声明</w:t>
      </w:r>
    </w:p>
    <w:p>
      <w:pPr>
        <w:spacing w:before="0" w:after="160"/>
      </w:pPr>
      <w:r>
        <w:rPr>
          <w:rFonts w:ascii="Calibri" w:hAnsi="Calibri" w:eastAsia="Microsoft YaHei"/>
          <w:i w:val="0"/>
        </w:rPr>
        <w:t>本初稿使用自动化工具协助组织代码、表格和文字，但所有数值仅来自项目内原始结果文件。未完成的吞吐和独立盲测均明确保留为待完成状态。参赛者应在提交前核查姓名、指导教师、竞赛格式、引用格式、数据许可和 AI 使用说明。</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B677A"/>
        <w:sz w:val="17"/>
      </w:rPr>
      <w:t xml:space="preserve">FormulaGuard v3  |  第 </w:t>
    </w:r>
    <w:r/>
    <w:fldSimple w:instr="PAGE"/>
    <w:r>
      <w:rPr>
        <w:rFonts w:ascii="Calibri" w:hAnsi="Calibri" w:eastAsia="Microsoft YaHei"/>
        <w:color w:val="5B677A"/>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icrosoft YaHei"/>
        <w:color w:val="5B677A"/>
        <w:sz w:val="17"/>
      </w:rPr>
      <w:t>FormulaGuard v3 | 竞赛论文研究初稿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Subtitle">
    <w:name w:val="Paper Subtitle"/>
    <w:pPr>
      <w:spacing w:after="240"/>
      <w:jc w:val="center"/>
    </w:pPr>
    <w:rPr>
      <w:rFonts w:ascii="Calibri" w:hAnsi="Calibri" w:eastAsia="Microsoft YaHei"/>
      <w:color w:val="5B677A"/>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FormulaGuard v3 竞赛论文研究初稿</dc:title>
  <dc:subject>Spreadsheet silent source formula error localization</dc:subject>
  <dc:creator>FormulaGuard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