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</w:p>
    <w:p>
      <w:pPr>
        <w:spacing w:after="280"/>
        <w:jc w:val="center"/>
      </w:pPr>
      <w:r>
        <w:rPr>
          <w:rFonts w:ascii="Microsoft YaHei" w:hAnsi="Microsoft YaHei" w:eastAsia="Microsoft YaHei" w:cs="Microsoft YaHei"/>
          <w:b/>
          <w:color w:val="7A5A00"/>
          <w:sz w:val="22"/>
        </w:rPr>
        <w:t>2026 丘成桐中学科学奖（计算机奖）</w:t>
      </w:r>
    </w:p>
    <w:p>
      <w:pPr>
        <w:spacing w:after="180"/>
        <w:jc w:val="center"/>
      </w:pPr>
      <w:r>
        <w:rPr>
          <w:rFonts w:ascii="Microsoft YaHei" w:hAnsi="Microsoft YaHei" w:eastAsia="Microsoft YaHei" w:cs="Microsoft YaHei"/>
          <w:b/>
          <w:color w:val="0B2545"/>
          <w:sz w:val="58"/>
        </w:rPr>
        <w:t>FormulaGuard 研究计划书</w:t>
      </w:r>
    </w:p>
    <w:p>
      <w:pPr>
        <w:spacing w:after="140"/>
        <w:jc w:val="center"/>
      </w:pPr>
      <w:r>
        <w:rPr>
          <w:rFonts w:ascii="Microsoft YaHei" w:hAnsi="Microsoft YaHei" w:eastAsia="Microsoft YaHei" w:cs="Microsoft YaHei"/>
          <w:b/>
          <w:color w:val="1F4D78"/>
          <w:sz w:val="30"/>
        </w:rPr>
        <w:t>无输出真值条件下基于图干预的电子表格静默公式根因定位</w:t>
      </w:r>
    </w:p>
    <w:p>
      <w:pPr>
        <w:spacing w:after="600"/>
        <w:jc w:val="center"/>
      </w:pPr>
      <w:r>
        <w:rPr>
          <w:rFonts w:ascii="Aptos" w:hAnsi="Aptos" w:eastAsia="Aptos" w:cs="Aptos"/>
          <w:i/>
          <w:color w:val="5F6B7A"/>
          <w:sz w:val="21"/>
        </w:rPr>
        <w:t>Oracle-Free Root-Cause Localization of Silent Spreadsheet Formula Errors via Graph Interventions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F4F6F9"/>
          <w:left w:val="single" w:sz="4" w:space="0" w:color="F4F6F9"/>
          <w:bottom w:val="single" w:sz="4" w:space="0" w:color="F4F6F9"/>
          <w:right w:val="single" w:sz="4" w:space="0" w:color="F4F6F9"/>
          <w:insideH w:val="single" w:sz="4" w:space="0" w:color="F4F6F9"/>
          <w:insideV w:val="single" w:sz="4" w:space="0" w:color="F4F6F9"/>
        </w:tblBorders>
      </w:tblPr>
      <w:tblGrid>
        <w:gridCol w:w="1280"/>
        <w:gridCol w:w="3400"/>
        <w:gridCol w:w="1280"/>
        <w:gridCol w:w="3400"/>
      </w:tblGrid>
      <w:tr>
        <w:trPr>
          <w:cantSplit/>
          <w:cantSplit/>
        </w:trPr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19"/>
              </w:rPr>
              <w:t>参赛学生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9"/>
              </w:rPr>
              <w:t>________________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19"/>
              </w:rPr>
              <w:t>学校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9"/>
              </w:rPr>
              <w:t>________________</w:t>
            </w:r>
          </w:p>
        </w:tc>
      </w:tr>
      <w:tr>
        <w:trPr>
          <w:cantSplit/>
          <w:cantSplit/>
        </w:trPr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19"/>
              </w:rPr>
              <w:t>指导教师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9"/>
              </w:rPr>
              <w:t>________________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19"/>
              </w:rPr>
              <w:t>研究方向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9"/>
              </w:rPr>
              <w:t>电子表格程序分析</w:t>
            </w:r>
          </w:p>
        </w:tc>
      </w:tr>
      <w:tr>
        <w:trPr>
          <w:cantSplit/>
          <w:cantSplit/>
        </w:trPr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19"/>
              </w:rPr>
              <w:t>计划周期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9"/>
              </w:rPr>
              <w:t>2026.08.10—09.15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19"/>
              </w:rPr>
              <w:t>目标层级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9"/>
              </w:rPr>
              <w:t>本科研究入门水平</w:t>
            </w:r>
          </w:p>
        </w:tc>
      </w:tr>
      <w:tr>
        <w:trPr>
          <w:cantSplit/>
          <w:cantSplit/>
        </w:trPr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19"/>
              </w:rPr>
              <w:t>主目标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9"/>
              </w:rPr>
              <w:t>冲击银奖</w:t>
            </w:r>
          </w:p>
        </w:tc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19"/>
              </w:rPr>
              <w:t>文档版本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9"/>
              </w:rPr>
              <w:t>v1.0 · 2026.08.10</w:t>
            </w:r>
          </w:p>
        </w:tc>
      </w:tr>
    </w:tbl>
    <w:p>
      <w:pPr>
        <w:spacing w:after="4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8E8"/>
          <w:left w:val="single" w:sz="4" w:space="0" w:color="FFF8E8"/>
          <w:bottom w:val="single" w:sz="4" w:space="0" w:color="FFF8E8"/>
          <w:right w:val="single" w:sz="4" w:space="0" w:color="FFF8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before="2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7A5A00"/>
                <w:sz w:val="21"/>
              </w:rPr>
              <w:t>计划定位</w:t>
            </w:r>
          </w:p>
          <w:p>
            <w:pPr>
              <w:spacing w:before="0" w:after="20" w:line="288" w:lineRule="auto"/>
            </w:pPr>
            <w:r>
              <w:rPr>
                <w:rFonts w:ascii="Microsoft YaHei" w:hAnsi="Microsoft YaHei" w:eastAsia="Microsoft YaHei" w:cs="Microsoft YaHei"/>
                <w:color w:val="0B2545"/>
                <w:sz w:val="20"/>
              </w:rPr>
              <w:t>这是一个“能真正跑起来”的实验型研究计划：最终成果必须包含可复现代码、自动生成的带标签错误基准、完整对比实验、真实表格验证和可演示原型。计划中的数值均为预先设定的目标，不是已经得到的实验结果。</w:t>
            </w:r>
          </w:p>
        </w:tc>
      </w:tr>
    </w:tbl>
    <w:p>
      <w:pPr>
        <w:spacing w:after="520"/>
      </w:pPr>
    </w:p>
    <w:p>
      <w:pPr>
        <w:spacing w:after="0"/>
        <w:jc w:val="center"/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银奖导向 · 证据优先 · 范围可控 · 结果诚实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本计划按“为什么值得做—做什么—怎样编码—怎样实验—如何按期交付”的顺序组织。真正决定项目质量的不是题目听起来多先进，而是错误标签是否可靠、对比是否公平、实验是否可复现、结论是否经得起追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1800"/>
        <w:gridCol w:w="5660"/>
      </w:tblGrid>
      <w:tr>
        <w:trPr>
          <w:cantSplit/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对应部分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阅读重点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A. 项目定义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第1—4节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定位、问题、假设、边界与创新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B. 技术方案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第5—7节</w:t>
            </w:r>
          </w:p>
        </w:tc>
        <w:tc>
          <w:tcPr>
            <w:tcW w:type="dxa" w:w="5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系统流程、GIR算法、候选修复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C. 实验核心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第8—12节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基准、仿真、对比、消融、统计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D. 执行管理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第13—17节</w:t>
            </w:r>
          </w:p>
        </w:tc>
        <w:tc>
          <w:tcPr>
            <w:tcW w:type="dxa" w:w="5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代码结构、进度、风险、银奖门槛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E. 写作与合规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第18—20节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论文、展示、AI披露与参考资料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F. 附录模板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附录A—C</w:t>
            </w:r>
          </w:p>
        </w:tc>
        <w:tc>
          <w:tcPr>
            <w:tcW w:type="dxa" w:w="5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错误记录、运行清单、研究日志</w:t>
            </w:r>
          </w:p>
        </w:tc>
      </w:tr>
    </w:tbl>
    <w:p>
      <w:pPr>
        <w:spacing w:after="1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DF7F1"/>
          <w:left w:val="single" w:sz="4" w:space="0" w:color="EDF7F1"/>
          <w:bottom w:val="single" w:sz="4" w:space="0" w:color="EDF7F1"/>
          <w:right w:val="single" w:sz="4" w:space="0" w:color="EDF7F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F7F1"/>
          </w:tcPr>
          <w:p>
            <w:pPr>
              <w:spacing w:before="2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76749"/>
                <w:sz w:val="21"/>
              </w:rPr>
              <w:t>先回答你的问题：要不要做实验？</w:t>
            </w:r>
          </w:p>
          <w:p>
            <w:pPr>
              <w:spacing w:before="0" w:after="20" w:line="288" w:lineRule="auto"/>
            </w:pPr>
            <w:r>
              <w:rPr>
                <w:rFonts w:ascii="Microsoft YaHei" w:hAnsi="Microsoft YaHei" w:eastAsia="Microsoft YaHei" w:cs="Microsoft YaHei"/>
                <w:color w:val="0B2545"/>
                <w:sz w:val="20"/>
              </w:rPr>
              <w:t>必须做，而且实验是整份作品的核心证据。至少要在本地运行解析器、依赖图构建、错误注入、公式重算、定位排序、候选修复和统计分析；如果只有方案文字而没有代码、数据和结果，无法支撑银奖目标。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执行摘要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FormulaGuard 研究大型 Excel 表格中的“静默公式错误”：公式能够正常计算，不显示 #REF! 或 #VALUE!，但因为引用、范围、运算符或复制偏移写错，结果在依赖链中持续传播。普通用户往往先看到下游汇总异常，却难以找到最初写错的源单元格。本项目希望在不给算法正确输出、测试用例或人工标注的条件下，自动给出最可疑的源错误单元格及候选修复。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计划的核心不是发明依赖图本身，而是提出一个清楚、可检验的问题设定：无输出真值（oracle-free）、静默错误（silent error）、根因定位（root-cause localization）。方法上，先把公式归一化并分组，再构建单元格依赖图；随后对可疑单元格进行候选公式替换，观察替换是否同时降低公式模式、局部图结构和下游行为的不一致，形成“图干预责任分数”（Graph Intervention Responsibility, GIR）。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实验上，项目将自动生成传播深度可控的 PropagationBench 基准，并在真实表格上做外部验证。所有方法只看到带错工作簿；无错版本和源错误标签只用于评分。主实验比较 FormulaGuard 与随机排序、图异常、公式模式多数法、Excel 不一致公式提示，以及可复现的 ExceLint-like/WARDER-like 方法；SFL-Oracle 作为使用输出真值的上界，不混入同一公平组。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7460"/>
      </w:tblGrid>
      <w:tr>
        <w:trPr>
          <w:cantSplit/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项目要素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约定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核心问题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不提供正确输出时，能否定位造成多个下游异常的最初公式错误？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主要原创点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问题定义 + GIR 图干预分数 + 传播深度可控基准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实现强度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Python 可复现原型；自动错误注入；批量实验；Top-5解释报告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主评价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Top-1/3/5、MRR、EXAM、修复命中率、运行时间、干净表误报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工作量边界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单源错误为主；常见函数；无宏/外链/循环引用/动态数组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成功判据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相对最强无真值基线有稳定提升，并在真实表格上保持可解释性</w:t>
            </w:r>
          </w:p>
        </w:tc>
      </w:tr>
    </w:tbl>
    <w:p>
      <w:pPr>
        <w:spacing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1F1"/>
          <w:left w:val="single" w:sz="4" w:space="0" w:color="FFF1F1"/>
          <w:bottom w:val="single" w:sz="4" w:space="0" w:color="FFF1F1"/>
          <w:right w:val="single" w:sz="4" w:space="0" w:color="FFF1F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1F1"/>
          </w:tcPr>
          <w:p>
            <w:pPr>
              <w:spacing w:before="2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9B1C1C"/>
                <w:sz w:val="21"/>
              </w:rPr>
              <w:t>获奖预期说明</w:t>
            </w:r>
          </w:p>
          <w:p>
            <w:pPr>
              <w:spacing w:before="0" w:after="20" w:line="288" w:lineRule="auto"/>
            </w:pPr>
            <w:r>
              <w:rPr>
                <w:rFonts w:ascii="Microsoft YaHei" w:hAnsi="Microsoft YaHei" w:eastAsia="Microsoft YaHei" w:cs="Microsoft YaHei"/>
                <w:color w:val="0B2545"/>
                <w:sz w:val="20"/>
              </w:rPr>
              <w:t>这条路线具备参赛和冲击银奖的合理性，但没有任何方案能保证奖项。评审最终看的是原创边界、实验质量、真实提升、答辩可信度和学生本人对代码与论文的掌握程度。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项目定位与目标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1.1 目标层级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项目按“优秀本科课程研究/本科科研入门”的强度设计：问题要正式、算法要可实现、实验要完整，但不追求覆盖所有 Excel 语法，也不要求提出博士论文级别的统一理论。高中生应能够解释每个模块、运行每个实验、复核每张结果表，并在答辩时现场演示一个真实案例。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1.2 银奖导向的四条主线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清楚：把研究对象限定为无真值条件下的单源静默公式根因定位，避免题目无限扩张。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原创：将“候选修复带来的全局不一致下降”正式定义为图干预责任，而不是简单拼接现有异常分数。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可信：用自动生成且可验证的错误基准、模板隔离的数据划分和真实表格外部验证形成证据链。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可展示：最终工具一键输出 Top-5 可疑单元格、候选修复、影响路径和诊断报告。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1.3 不把项目做成什么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3350"/>
        <w:gridCol w:w="4310"/>
      </w:tblGrid>
      <w:tr>
        <w:trPr>
          <w:cantSplit/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不做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原因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替代方案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覆盖全部 Excel 函数和插件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五周内不可验证，容易产生大量边界错误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先支持常用算术、SUM/AVERAGE/MIN/MAX 与直接引用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把大语言模型作为主算法</w:t>
            </w:r>
          </w:p>
        </w:tc>
        <w:tc>
          <w:tcPr>
            <w:tcW w:type="dxa" w:w="3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难以稳定、难以解释，也容易削弱学生原创性</w:t>
            </w:r>
          </w:p>
        </w:tc>
        <w:tc>
          <w:tcPr>
            <w:tcW w:type="dxa" w:w="4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核心算法完全可复现；LLM仅可用于辅助说明或候选扩展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一次处理多个源错误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评价和因果归因难度显著上升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主实验单源错误；多错误仅作探索性附录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宣称依赖图或公式聚类是首创</w:t>
            </w:r>
          </w:p>
        </w:tc>
        <w:tc>
          <w:tcPr>
            <w:tcW w:type="dxa" w:w="3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这些思想已有充分先行研究</w:t>
            </w:r>
          </w:p>
        </w:tc>
        <w:tc>
          <w:tcPr>
            <w:tcW w:type="dxa" w:w="4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把原创性放在问题设定、GIR和传播基准上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为了达到目标筛掉失败样本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会造成选择偏差，答辩时难以自证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预先登记规则；所有有效样本按固定脚本统计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研究背景与意义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电子表格把程序逻辑分散在成百上千个单元格中。一个源公式写错后，依赖它的汇总、图表和决策指标可能全部改变。最危险的并不是显式错误，而是“看起来正常”的数值：工作簿能打开、公式能计算、结果有合理数量级，却已偏离真实业务逻辑。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传统调试通常依赖用户指出正确结果或失败测试；但真实办公环境常常没有这种输出真值。另一类方法通过公式模式或空间异常寻找离群公式，适合发现局部不一致，但不一定能区分“最初写错的源头”和“被错误传播影响的下游症状”。因此，本研究关心的是：在没有正确答案的前提下，能否利用公式族、依赖结构和反事实替换后的系统变化，对源错误承担的责任进行排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4F6F9"/>
          <w:left w:val="single" w:sz="4" w:space="0" w:color="F4F6F9"/>
          <w:bottom w:val="single" w:sz="4" w:space="0" w:color="F4F6F9"/>
          <w:right w:val="single" w:sz="4" w:space="0" w:color="F4F6F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2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1"/>
              </w:rPr>
              <w:t>实际价值</w:t>
            </w:r>
          </w:p>
          <w:p>
            <w:pPr>
              <w:spacing w:before="0" w:after="20" w:line="288" w:lineRule="auto"/>
            </w:pPr>
            <w:r>
              <w:rPr>
                <w:rFonts w:ascii="Microsoft YaHei" w:hAnsi="Microsoft YaHei" w:eastAsia="Microsoft YaHei" w:cs="Microsoft YaHei"/>
                <w:color w:val="0B2545"/>
                <w:sz w:val="20"/>
              </w:rPr>
              <w:t>如果工具能把需要人工检查的范围从数百个公式压缩到 Top-5，并说明“为何可疑、影响了谁、怎样修复”，它就能显著降低审计和排错成本。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相关工作与原创边界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电子表格调试并不是空白领域。已有研究覆盖目标驱动修复、数据流分析、基于测试的故障定位、公式气味、公式聚类、空间异常检测、神经符号修复和蜕变测试等方向。[1]—[12] 因此，参赛论文必须主动说明“借鉴了什么、不同在哪里、为什么仍值得研究”。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3100"/>
        <w:gridCol w:w="4160"/>
      </w:tblGrid>
      <w:tr>
        <w:trPr>
          <w:cantSplit/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代表工作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已有贡献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FormulaGuard 的区别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GoalDebug (2007)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依据期望输出和用户目标生成公式修复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需要目标/预期结果；本项目不提供输出真值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Spreadsheet Debugging (2008)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数据流与影响传播分析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依赖图是基础；本项目增加候选替换后的责任度量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Hofer等 (2013)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SFL、切片、约束调试的实证比较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SFL依赖测试通过/失败信息；本项目将其作为有真值上界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FaultySheet Detective (2014)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公式气味与SFL联合定位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本项目主比较组不使用测试结果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MUSSCO (2015)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基于变异的公式修复候选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借鉴小编辑候选；评分改为无真值图干预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ExceLint (2018)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信息论与空间公式异常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强无真值对照；本项目强调根因和传播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Metric-based (2019)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使用表格度量预测故障倾向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更偏静态风险预测；本项目针对具体源错误排名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WARDER (2020)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公式族/聚类辅助错误发现与修复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借鉴公式族；加入依赖图责任与深度实验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LaMirage (2022)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神经符号低代码公式修复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模型规模和任务不同；本项目优先可解释与CPU可运行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FLAME/RING (2023)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预训练模型驱动公式生成/修复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作为背景，不作为必须复现的主基线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FoRepBench (2025)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上下文公式修复评测样本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偏修复；可用于候选生成的补充验证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SEDMR (2026)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用蜕变关系检测电子表格缺陷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借鉴无真值行为一致性思想；主任务改为源定位</w:t>
            </w:r>
          </w:p>
        </w:tc>
      </w:tr>
    </w:tbl>
    <w:p>
      <w:pPr>
        <w:keepLines w:val="0"/>
        <w:spacing w:after="160"/>
        <w:jc w:val="center"/>
      </w:pPr>
      <w:r>
        <w:rPr>
          <w:rFonts w:ascii="Microsoft YaHei" w:hAnsi="Microsoft YaHei" w:eastAsia="Microsoft YaHei" w:cs="Microsoft YaHei"/>
          <w:color w:val="5F6B7A"/>
          <w:sz w:val="18"/>
        </w:rPr>
        <w:t>表1 相关工作用于界定原创边界；完整出处见第20节。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3.1 本项目可以主张的三项贡献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问题贡献：形式化“无输出真值、静默错误、单源根因定位”的任务、输入、输出和评价协议。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方法贡献：提出图干预责任分数 GIR，把局部公式异常、图结构异常、下游一致性改善和编辑成本统一到候选干预框架。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实验贡献：建立传播深度可控、标签可追溯的 PropagationBench，并展示性能随传播深度和错误类型的变化。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3.2 论文中必须避免的表述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避免“首次使用依赖图定位 Excel 错误”；正确说法是“在既有依赖分析基础上提出新的无真值干预责任评分”。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避免“全面优于现有方法”；正确说法是“在本研究定义的数据范围和公平设置中，相对指定基线获得提升”。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避免“自动修复所有公式错误”；正确说法是“给出 Top-k 根因与有限候选修复，最终由用户确认”。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研究问题、假设与范围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4.1 研究问题（Research Questions）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00"/>
        <w:gridCol w:w="5960"/>
        <w:gridCol w:w="2500"/>
      </w:tblGrid>
      <w:tr>
        <w:trPr>
          <w:cantSplit/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主要证据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RQ1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无输出真值时，GIR 能否比纯公式模式或纯图分数更准确地定位源错误？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Top-k、MRR、EXAM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RQ2</w:t>
            </w:r>
          </w:p>
        </w:tc>
        <w:tc>
          <w:tcPr>
            <w:tcW w:type="dxa" w:w="5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传播深度增加时，各方法的性能如何变化？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按浅/中/深分层结果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RQ3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哪些组件真正贡献提升？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消融实验与效应量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RQ4</w:t>
            </w:r>
          </w:p>
        </w:tc>
        <w:tc>
          <w:tcPr>
            <w:tcW w:type="dxa" w:w="5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候选修复是否能覆盖并排到真实公式？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Coverage、Repair Top-k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RQ5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方法在真实表格、干净表格和较大表格上是否仍可靠？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外部验证、误报率、运行时间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4.2 可证伪假设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H1：在相同无真值输入下，完整 GIR 的 Top-1 和 MRR 显著高于最强无真值基线。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H2：只用节点下游规模会偏爱上游大节点；加入候选干预后的不一致下降能减少这种误排。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H3：传播越深，症状越多，单纯空间异常方法越容易失效；GIR 的相对优势会更明显。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H4：公式族多数模板可使真实修复进入候选集的比例达到可用水平，但对唯一公式区域效果较弱。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4.3 输入、输出和约束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7460"/>
      </w:tblGrid>
      <w:tr>
        <w:trPr>
          <w:cantSplit/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约定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输入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一个 .xlsx 工作簿；算法不知道正确版本、正确输出和源错误位置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输出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Top-5 可疑公式单元格、GIR分数、候选修复、影响路径和理由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主错误模型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一次只注入一个源公式错误；错误结果可正常计算，无显式Excel错误码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支持公式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算术、比较、直接引用、SUM、AVERAGE、MIN、MAX；逐步扩展 IF/COUNTIF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排除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VBA宏、外部链接、循环引用、动态数组、易变函数、多源并发错误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适用表格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存在重复行/列/块结构，能够形成可比较公式族的工作簿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真值隔离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正确版本只在基准生成和最终评分脚本中可见，定位模块不得读取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总体技术路线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系统由五个串联模块组成。每个模块都有独立输入输出和单元测试；这样即使最终算法效果不够理想，也能定位问题出在公式解析、候选覆盖、依赖图还是评分设计，而不是只得到一个无法解释的总分。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0"/>
        <w:gridCol w:w="465"/>
        <w:gridCol w:w="1500"/>
        <w:gridCol w:w="465"/>
        <w:gridCol w:w="1500"/>
        <w:gridCol w:w="465"/>
        <w:gridCol w:w="1500"/>
        <w:gridCol w:w="465"/>
        <w:gridCol w:w="1500"/>
      </w:tblGrid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公式解析</w:t>
              <w:br/>
              <w:t>与归一化</w:t>
            </w:r>
          </w:p>
        </w:tc>
        <w:tc>
          <w:tcPr>
            <w:tcW w:type="dxa" w:w="4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6"/>
              </w:rPr>
              <w:t>→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公式族</w:t>
              <w:br/>
              <w:t>与局部模式</w:t>
            </w:r>
          </w:p>
        </w:tc>
        <w:tc>
          <w:tcPr>
            <w:tcW w:type="dxa" w:w="4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6"/>
              </w:rPr>
              <w:t>→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依赖图</w:t>
              <w:br/>
              <w:t>与传播路径</w:t>
            </w:r>
          </w:p>
        </w:tc>
        <w:tc>
          <w:tcPr>
            <w:tcW w:type="dxa" w:w="4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6"/>
              </w:rPr>
              <w:t>→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候选替换</w:t>
              <w:br/>
              <w:t>反事实干预</w:t>
            </w:r>
          </w:p>
        </w:tc>
        <w:tc>
          <w:tcPr>
            <w:tcW w:type="dxa" w:w="4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6"/>
              </w:rPr>
              <w:t>→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GIR排序</w:t>
              <w:br/>
              <w:t>与诊断报告</w:t>
            </w:r>
          </w:p>
        </w:tc>
      </w:tr>
    </w:tbl>
    <w:p>
      <w:pPr>
        <w:keepLines w:val="0"/>
        <w:spacing w:after="160"/>
        <w:jc w:val="center"/>
      </w:pPr>
      <w:r>
        <w:rPr>
          <w:rFonts w:ascii="Microsoft YaHei" w:hAnsi="Microsoft YaHei" w:eastAsia="Microsoft YaHei" w:cs="Microsoft YaHei"/>
          <w:color w:val="5F6B7A"/>
          <w:sz w:val="18"/>
        </w:rPr>
        <w:t>图1 FormulaGuard 主流程。算法输入为带错工作簿；正确工作簿仅存在于独立评测端。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5.1 公式解析与归一化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将每个公式解析为抽象语法树（AST），把绝对地址和相对偏移分开表示。例如，同一列中 =B2*C2 与 =B3*C3 在 R1C1 相对形式下属于同一模板。归一化输出至少包含操作符序列、函数名、引用相对偏移、区域形状、绝对/相对标记和常量类型。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单元测试覆盖括号优先级、跨表引用、范围、绝对引用、混合引用和错误输入。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解析失败时记录原因并跳过，而不是悄悄生成错误依赖边。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同一公式的A1与R1C1表达应可往返验证，避免复制偏移判断错误。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5.2 公式族与局部图模式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在相邻行、相邻列或重复块中，根据归一化公式指纹聚类形成公式族。对每个公式单元格，再提取局部图模式：入度、出度、引用列类型、范围形状、同族邻居、下游深度和可达汇总节点。公式异常与图异常分别计算，避免一个指标同时承担所有解释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图干预责任分数（GIR）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6.1 不一致能量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设工作簿为 W，定义三个无需正确输出即可计算的分量：公式族不一致 E_formula、局部依赖图模式不一致 E_graph、以及在允许的输入扰动或候选替换下的下游行为不一致 E_behavior。</w:t>
      </w:r>
    </w:p>
    <w:p>
      <w:pPr>
        <w:keepLines/>
        <w:spacing w:before="80" w:after="160"/>
        <w:jc w:val="center"/>
      </w:pPr>
      <w:r>
        <w:rPr>
          <w:rFonts w:ascii="Cambria Math" w:hAnsi="Cambria Math" w:eastAsia="Cambria Math" w:cs="Cambria Math"/>
          <w:color w:val="0B2545"/>
          <w:sz w:val="21"/>
        </w:rPr>
        <w:t>E(W) = w_f · E_formula(W) + w_g · E_graph(W) + w_b · E_behavior(W)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权重 w_f、w_g、w_b 不在测试集上反复调节。主方案使用开发集网格搜索或固定为等权；最终论文同时报告等权结果和开发集选择结果，以防调参造成夸大。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6.2 候选干预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对于候选单元格 v，从同族邻居平移、行/列多数模板、相邻块对应位置和一次AST小编辑中生成不超过 K 个候选公式 C(v)。把 v 暂时替换为候选 f 后，仅重算受影响的下游子图，得到能量下降：</w:t>
      </w:r>
    </w:p>
    <w:p>
      <w:pPr>
        <w:keepLines/>
        <w:spacing w:before="80" w:after="160"/>
        <w:jc w:val="center"/>
      </w:pPr>
      <w:r>
        <w:rPr>
          <w:rFonts w:ascii="Cambria Math" w:hAnsi="Cambria Math" w:eastAsia="Cambria Math" w:cs="Cambria Math"/>
          <w:color w:val="0B2545"/>
          <w:sz w:val="21"/>
        </w:rPr>
        <w:t>ΔE(v, f) = E(W) − E(W[v ← f])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如果替换后多个层面的不一致同时下降，说明 v 更可能是源错误；如果只是一个上游大节点但替换不能恢复一致，则不应仅因影响范围大而排到最前。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6.3 正式责任分数</w:t>
      </w:r>
    </w:p>
    <w:p>
      <w:pPr>
        <w:keepLines/>
        <w:spacing w:before="80" w:after="160"/>
        <w:jc w:val="center"/>
      </w:pPr>
      <w:r>
        <w:rPr>
          <w:rFonts w:ascii="Cambria Math" w:hAnsi="Cambria Math" w:eastAsia="Cambria Math" w:cs="Cambria Math"/>
          <w:color w:val="0B2545"/>
          <w:sz w:val="21"/>
        </w:rPr>
        <w:t>GIR(v) = I(v) · max_{f∈C(v)} max(0, ΔE(v,f)) / (1 + EditCost(v,f))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其中 I(v) 是有界图影响因子，可由标准化后代数和可达汇总节点数构成；EditCost 惩罚大幅改写，优先选择平移、边界修正或单个运算符替换等小改动。输出时同时保存最优候选 f*、三个能量分量变化和影响路径，形成可解释证据。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6.4 简化命题与复杂度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4F6F9"/>
          <w:left w:val="single" w:sz="4" w:space="0" w:color="F4F6F9"/>
          <w:bottom w:val="single" w:sz="4" w:space="0" w:color="F4F6F9"/>
          <w:right w:val="single" w:sz="4" w:space="0" w:color="F4F6F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2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>可验证命题（本科水平）</w:t>
            </w:r>
          </w:p>
          <w:p>
            <w:pPr>
              <w:spacing w:before="0" w:after="20" w:line="288" w:lineRule="auto"/>
            </w:pPr>
            <w:r>
              <w:rPr>
                <w:rFonts w:ascii="Microsoft YaHei" w:hAnsi="Microsoft YaHei" w:eastAsia="Microsoft YaHei" w:cs="Microsoft YaHei"/>
                <w:color w:val="0B2545"/>
                <w:sz w:val="20"/>
              </w:rPr>
              <w:t>若工作簿只含一个源错误；该单元格所在公式族的多数模板正确；候选集中包含正确公式；且正确替换是唯一使总不一致能量最小的替换，则源错误的干预能量下降严格大于同族非错误单元格。论文可给出一页证明，并用反例说明每个条件为何必要。</w:t>
            </w:r>
          </w:p>
        </w:tc>
      </w:tr>
    </w:tbl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若公式数为 F、引用数为 R、图含 V 个节点和 E 条边，解析和建图约为 O(F+R)。对 M 个候选单元格、每个 K 个公式做完整重算，最坏约 O(MK(V+E))；实现时缓存局部能量并只遍历下游子图，以实测运行时间说明优化效果，而不追求复杂理论。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候选修复与解释输出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4100"/>
        <w:gridCol w:w="3060"/>
      </w:tblGrid>
      <w:tr>
        <w:trPr>
          <w:cantSplit/>
          <w:tblHeader w:val="true"/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来源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生成方式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意义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同列邻居平移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把上一行/下一行同族公式翻译到当前坐标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最常见复制偏移，编辑小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行/列多数模板</w:t>
            </w:r>
          </w:p>
        </w:tc>
        <w:tc>
          <w:tcPr>
            <w:tcW w:type="dxa" w:w="4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选择局部窗口中占多数的归一化公式</w:t>
            </w:r>
          </w:p>
        </w:tc>
        <w:tc>
          <w:tcPr>
            <w:tcW w:type="dxa" w:w="3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抑制单个离群公式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重复块对应位置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从相邻月份/部门/实验组的同位置复制模板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适合报表块结构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范围边界修正</w:t>
            </w:r>
          </w:p>
        </w:tc>
        <w:tc>
          <w:tcPr>
            <w:tcW w:type="dxa" w:w="4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对起止行列进行 ±1 或吸附到相邻模板</w:t>
            </w:r>
          </w:p>
        </w:tc>
        <w:tc>
          <w:tcPr>
            <w:tcW w:type="dxa" w:w="3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覆盖漏一行、多一行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AST一次编辑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运算符、函数名或绝对引用标记的一次替换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覆盖常见人工输入错误</w:t>
            </w:r>
          </w:p>
        </w:tc>
      </w:tr>
    </w:tbl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为了保证候选搜索可控，K 默认不超过 10；论文报告 K=3/5/10/20 的覆盖率—运行时间曲线。诊断报告必须区分“检测到可疑源”与“候选修复已被验证”，不得自动覆盖原文件。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DF7F1"/>
          <w:left w:val="single" w:sz="4" w:space="0" w:color="EDF7F1"/>
          <w:bottom w:val="single" w:sz="4" w:space="0" w:color="EDF7F1"/>
          <w:right w:val="single" w:sz="4" w:space="0" w:color="EDF7F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F7F1"/>
          </w:tcPr>
          <w:p>
            <w:pPr>
              <w:spacing w:before="2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76749"/>
                <w:sz w:val="21"/>
              </w:rPr>
              <w:t>演示输出示例</w:t>
            </w:r>
          </w:p>
          <w:p>
            <w:pPr>
              <w:spacing w:before="0" w:after="20" w:line="288" w:lineRule="auto"/>
            </w:pPr>
            <w:r>
              <w:rPr>
                <w:rFonts w:ascii="Microsoft YaHei" w:hAnsi="Microsoft YaHei" w:eastAsia="Microsoft YaHei" w:cs="Microsoft YaHei"/>
                <w:color w:val="0B2545"/>
                <w:sz w:val="20"/>
              </w:rPr>
              <w:t>1) Budget!H27，GIR=0.84；2) 建议 =SUM(H18:H26)；3) 原式遗漏H26；4) 该单元格影响 14 个下游公式和 2 个汇总输出；5) 替换后公式族、依赖范围和下游一致性同时改善。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PropagationBench：传播深度可控基准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基准的目的不是制造大量随意错误，而是产生标签可靠、结构多样、传播深度可控、能够复算的样本。每个错误实例包含正确工作簿、带错工作簿、源单元格、正确公式、错误公式、错误类型、传播深度、受影响节点、输出差异和随机种子。定位算法只能读取带错工作簿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8.1 基础工作簿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4100"/>
        <w:gridCol w:w="3360"/>
      </w:tblGrid>
      <w:tr>
        <w:trPr>
          <w:cantSplit/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模板族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典型结构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适合错误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预算/费用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逐项成本→分类小计→总计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范围与引用偏移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销售/月报</w:t>
            </w:r>
          </w:p>
        </w:tc>
        <w:tc>
          <w:tcPr>
            <w:tcW w:type="dxa" w:w="4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明细→区域汇总→季度汇总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深层传播与重复块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库存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入库/出库→结余→预警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跨期引用与条件公式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成绩表</w:t>
            </w:r>
          </w:p>
        </w:tc>
        <w:tc>
          <w:tcPr>
            <w:tcW w:type="dxa" w:w="4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分项→总分→排名/统计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权重、平均值和复制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实验记录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多次测量→均值→误差→结论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科研情境、公式链清楚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能耗/用水</w:t>
            </w:r>
          </w:p>
        </w:tc>
        <w:tc>
          <w:tcPr>
            <w:tcW w:type="dxa" w:w="4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日数据→周/月汇总→同比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范围边界与多层汇总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项目排期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工时→阶段→资源汇总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跨列依赖与绝对引用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发票/税费</w:t>
            </w:r>
          </w:p>
        </w:tc>
        <w:tc>
          <w:tcPr>
            <w:tcW w:type="dxa" w:w="4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数量×单价→税额→应付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运算符、绝对参数</w:t>
            </w:r>
          </w:p>
        </w:tc>
      </w:tr>
    </w:tbl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计划编写 8—10 个 Python 模板生成器，每族生成 5—8 个参数化工作簿，形成 50—80 个基础工作簿。自动化可以控制规模并保留结构标签；另外保留一部分手工制作工作簿，检验算法是否只适应生成器规律。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8.2 六类静默错误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3600"/>
        <w:gridCol w:w="3860"/>
      </w:tblGrid>
      <w:tr>
        <w:trPr>
          <w:cantSplit/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示例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静默性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M1 引用偏移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=B12*C12 → =B11*C12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引用到相邻但合法单元格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M2 范围边界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SUM(D2:D20) → SUM(D2:D19)</w:t>
            </w:r>
          </w:p>
        </w:tc>
        <w:tc>
          <w:tcPr>
            <w:tcW w:type="dxa" w:w="3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漏一项或多一项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M3 运算符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A/B → A*B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仍返回正常数值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M4 函数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AVERAGE → SUM</w:t>
            </w:r>
          </w:p>
        </w:tc>
        <w:tc>
          <w:tcPr>
            <w:tcW w:type="dxa" w:w="3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函数语义改变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M5 绝对引用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$B$2 → B2 或 B$2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复制后逐步漂移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M6 复制偏移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整段复制时偏移一列/一行</w:t>
            </w:r>
          </w:p>
        </w:tc>
        <w:tc>
          <w:tcPr>
            <w:tcW w:type="dxa" w:w="3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形成局部结构异常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8.3 传播深度分层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4100"/>
        <w:gridCol w:w="3560"/>
      </w:tblGrid>
      <w:tr>
        <w:trPr>
          <w:cantSplit/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分层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从源错误到可观察汇总的最短距离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浅层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1—2条依赖边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验证基本定位能力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中层</w:t>
            </w:r>
          </w:p>
        </w:tc>
        <w:tc>
          <w:tcPr>
            <w:tcW w:type="dxa" w:w="4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3—5条依赖边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观察症状扩散后性能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深层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6条及以上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检验根因与下游症状区分能力</w:t>
            </w:r>
          </w:p>
        </w:tc>
      </w:tr>
    </w:tbl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生成脚本先在正确工作簿上建立依赖图，再按目标深度选择可变异单元格。样本量设置为最低 800 个有效实例、目标 1200—2000 个；三种深度和六种错误类型尽量平衡。数量不是越多越好，标签验证优先于规模。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8.4 有效错误的自动验收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带错工作簿可被 Excel 或 LibreOffice 正常重算，且不出现显式错误码。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至少一个指定汇总输出发生数值变化；源错误确实传播到下游。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至少两个下游公式受影响，避免把普通局部错当作传播错误。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恢复正确公式后输出回到正确版本；错误标签与修复标签一致。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错误公式与正确公式不同，且变化符合预先声明的六类变异规则。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记录生成器版本、随机种子和文件哈希，保证样本可复现。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8.5 数据划分防泄漏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不能把同一个模板的不同变体随机分到训练和测试，否则算法可能记住结构。主划分按模板族隔离：开发集用于确定权重和阈值，测试集包含未见模板族；进一步做 leave-one-template-family-out 交叉验证。所有基线使用同一划分、同一候选单元格集合和同一超参数选择规则。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本地代码、仿真与实验环境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8E8"/>
          <w:left w:val="single" w:sz="4" w:space="0" w:color="FFF8E8"/>
          <w:bottom w:val="single" w:sz="4" w:space="0" w:color="FFF8E8"/>
          <w:right w:val="single" w:sz="4" w:space="0" w:color="FFF8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before="2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7A5A00"/>
                <w:sz w:val="21"/>
              </w:rPr>
              <w:t>实验原则</w:t>
            </w:r>
          </w:p>
          <w:p>
            <w:pPr>
              <w:spacing w:before="0" w:after="20" w:line="288" w:lineRule="auto"/>
            </w:pPr>
            <w:r>
              <w:rPr>
                <w:rFonts w:ascii="Microsoft YaHei" w:hAnsi="Microsoft YaHei" w:eastAsia="Microsoft YaHei" w:cs="Microsoft YaHei"/>
                <w:color w:val="0B2545"/>
                <w:sz w:val="20"/>
              </w:rPr>
              <w:t>代码、仿真和本地测试不是“加分项”，而是论文成立的必要条件。每个数字必须能由脚本重新生成；每张表都要能追溯到结果CSV和配置文件。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9.1 建议环境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3000"/>
        <w:gridCol w:w="4460"/>
      </w:tblGrid>
      <w:tr>
        <w:trPr>
          <w:cantSplit/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选择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操作系统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Windows 10/11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便于调用本机 Excel 重算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语言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Python 3.11+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主算法与实验脚本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工作簿读写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openpyxl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解析xlsx；注意它本身不会计算公式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依赖图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networkx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DAG、可达性、深度、子图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重算引擎A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Excel COM + pywin32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作为Windows主重算引擎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重算引擎B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LibreOffice headless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跨引擎复核与无Excel备选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统计与绘图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pandas / scipy / seaborn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结果表、置信区间、图形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硬件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普通笔记本，16GB内存，CPU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不依赖GPU，便于答辩复现</w:t>
            </w:r>
          </w:p>
        </w:tc>
      </w:tr>
    </w:tbl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重算必须特别处理：openpyxl 只能读取或写入公式，不能像 Excel 那样计算新值。基准验证优先使用 Excel COM 批量重算，并随机抽取样本用 LibreOffice 复核；若两者结果不一致，记录为引擎差异并排除出主实验，而不是强行归入正确样本。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9.2 一键实验入口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最终提供统一命令，例如 python run.py workbook.xlsx 生成单文件诊断；python scripts/run_experiments.py --config configs/main.yaml 执行批量实验。脚本自动记录代码版本、数据版本、参数、随机种子、开始/结束时间和输出路径。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0"/>
        <w:gridCol w:w="465"/>
        <w:gridCol w:w="1500"/>
        <w:gridCol w:w="465"/>
        <w:gridCol w:w="1500"/>
        <w:gridCol w:w="465"/>
        <w:gridCol w:w="1500"/>
        <w:gridCol w:w="465"/>
        <w:gridCol w:w="1500"/>
      </w:tblGrid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生成正确</w:t>
              <w:br/>
              <w:t>工作簿</w:t>
            </w:r>
          </w:p>
        </w:tc>
        <w:tc>
          <w:tcPr>
            <w:tcW w:type="dxa" w:w="4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6"/>
              </w:rPr>
              <w:t>→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注入并验证</w:t>
              <w:br/>
              <w:t>静默错误</w:t>
            </w:r>
          </w:p>
        </w:tc>
        <w:tc>
          <w:tcPr>
            <w:tcW w:type="dxa" w:w="4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6"/>
              </w:rPr>
              <w:t>→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批量运行</w:t>
              <w:br/>
              <w:t>全部方法</w:t>
            </w:r>
          </w:p>
        </w:tc>
        <w:tc>
          <w:tcPr>
            <w:tcW w:type="dxa" w:w="4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6"/>
              </w:rPr>
              <w:t>→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计算指标</w:t>
              <w:br/>
              <w:t>统计检验</w:t>
            </w:r>
          </w:p>
        </w:tc>
        <w:tc>
          <w:tcPr>
            <w:tcW w:type="dxa" w:w="4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6"/>
              </w:rPr>
              <w:t>→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生成论文</w:t>
              <w:br/>
              <w:t>图表与案例</w:t>
            </w:r>
          </w:p>
        </w:tc>
      </w:tr>
    </w:tbl>
    <w:p>
      <w:pPr>
        <w:keepLines w:val="0"/>
        <w:spacing w:after="160"/>
        <w:jc w:val="center"/>
      </w:pPr>
      <w:r>
        <w:rPr>
          <w:rFonts w:ascii="Microsoft YaHei" w:hAnsi="Microsoft YaHei" w:eastAsia="Microsoft YaHei" w:cs="Microsoft YaHei"/>
          <w:color w:val="5F6B7A"/>
          <w:sz w:val="18"/>
        </w:rPr>
        <w:t>图2 本地仿真实验流水线。每一步失败都应中止并写入日志，防止错误数据进入最终结果。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完整实验矩阵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下表是必须实际运行的实验，不是论文写作提纲。优先顺序为 E0→E1→E2→E5→E7；时间不足时可以缩减扩展实验，但不能跳过工程正确性、主比较、消融和真实案例。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50"/>
        <w:gridCol w:w="2650"/>
        <w:gridCol w:w="2900"/>
        <w:gridCol w:w="2360"/>
      </w:tblGrid>
      <w:tr>
        <w:trPr>
          <w:cantSplit/>
          <w:tblHeader w:val="true"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实验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输入/对象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输出证据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过关条件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E0 工程单测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解析器、地址平移、建图、局部重算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pytest报告；关键模块≥80%覆盖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全部关键测试通过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E1 基准有效性</w:t>
            </w:r>
          </w:p>
        </w:tc>
        <w:tc>
          <w:tcPr>
            <w:tcW w:type="dxa" w:w="2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800—2000个变异实例</w:t>
            </w:r>
          </w:p>
        </w:tc>
        <w:tc>
          <w:tcPr>
            <w:tcW w:type="dxa" w:w="2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有效率、深度/类型分布、双引擎一致率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标签抽查无系统性错误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E2 主定位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测试集所有有效错误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Top-1/3/5、MRR、EXAM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完整GIR优于最强无真值基线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E3 修复候选</w:t>
            </w:r>
          </w:p>
        </w:tc>
        <w:tc>
          <w:tcPr>
            <w:tcW w:type="dxa" w:w="2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每个源单元格K个候选</w:t>
            </w:r>
          </w:p>
        </w:tc>
        <w:tc>
          <w:tcPr>
            <w:tcW w:type="dxa" w:w="2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Coverage@K、Repair Top-k、编辑距离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真实修复高比例进入候选集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E4 深度分层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浅/中/深传播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各层Top-k与相对下降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解释性能随深度变化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E5 消融</w:t>
            </w:r>
          </w:p>
        </w:tc>
        <w:tc>
          <w:tcPr>
            <w:tcW w:type="dxa" w:w="2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移除各评分分量</w:t>
            </w:r>
          </w:p>
        </w:tc>
        <w:tc>
          <w:tcPr>
            <w:tcW w:type="dxa" w:w="2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ΔTop-1、ΔMRR、置信区间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证明每个核心组件价值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E6 鲁棒/误报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干净表、不同窗口/权重/K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误报率、敏感性曲线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阈值不过度依赖单设置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E7 真实表格</w:t>
            </w:r>
          </w:p>
        </w:tc>
        <w:tc>
          <w:tcPr>
            <w:tcW w:type="dxa" w:w="2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Enron错误语料可用样本+自建案例</w:t>
            </w:r>
          </w:p>
        </w:tc>
        <w:tc>
          <w:tcPr>
            <w:tcW w:type="dxa" w:w="2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Top-k、案例解释、失败类型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不是只对生成数据有效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E8 性能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100/500/1000/5000公式规模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中位、P95时间与峰值内存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常用规模可现场演示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10.1 E0：工程正确性测试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为公式解析准备至少 60 个手工真值用例，覆盖相对/绝对/混合引用、跨表引用、范围、嵌套函数和非法公式。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为依赖图准备 15 个小型工作簿，人工画出边与最短传播深度，逐一比对程序输出。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为候选平移准备行、列、块三类用例，确保生成公式不会越界或改变绝对引用。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为局部重算准备 20 个微型表格，与 Excel 完整重算结果比对，误差使用明确浮点容差。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10.2 E1：基准有效性审计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脚本生成后先自动过滤，再随机抽取至少 10% 的样本人工复核。抽样需覆盖全部模板族、错误类型和深度层。人工记录“标签正确/错误、是否静默、传播是否真实、修复是否恢复”四项；如果任何一类错误的标签错误率超过 5%，暂停主实验，修复生成器并重新生成该类数据。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10.3 E2：主定位对比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对每个测试工作簿，所有方法输出同一候选公式集合的排名。主单位是“工作簿”，不是单元格：先在每个工作簿计算指标，再跨工作簿汇总，避免大表格支配平均值。报告总体结果、按模板族结果、按错误类型结果和按传播深度结果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10.4 E3：候选修复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先测候选覆盖率，判断真实公式是否进入 C(v)；再在覆盖样本上测排序效果。必须同时报告“全体样本修复率”和“候选已覆盖条件下的修复率”，否则可能把候选生成失败隐藏在排序指标之后。语义等价公式可通过多组输入重算确认，不只做字符串完全匹配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10.5 E4：传播深度实验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每种错误类型在浅、中、深三层尽量有相近样本量。绘制传播深度—Top-1、传播深度—MRR 曲线，并统计错误源、受影响中间节点和最终汇总节点在各方法排名中的位置。该实验是本项目区别于普通公式异常检测的关键证据。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10.6 E5：消融实验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850"/>
        <w:gridCol w:w="3750"/>
        <w:gridCol w:w="3760"/>
      </w:tblGrid>
      <w:tr>
        <w:trPr>
          <w:cantSplit/>
          <w:tblHeader w:val="true"/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改变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回答的问题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Full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完整 FormulaGuard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主结果</w:t>
            </w:r>
          </w:p>
        </w:tc>
      </w:tr>
      <w:tr>
        <w:trPr>
          <w:cantSplit/>
        </w:trPr>
        <w:tc>
          <w:tcPr>
            <w:tcW w:type="dxa" w:w="1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−Formula</w:t>
            </w:r>
          </w:p>
        </w:tc>
        <w:tc>
          <w:tcPr>
            <w:tcW w:type="dxa" w:w="37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移除公式族不一致</w:t>
            </w:r>
          </w:p>
        </w:tc>
        <w:tc>
          <w:tcPr>
            <w:tcW w:type="dxa" w:w="3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检验公式模式贡献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−Graph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移除局部图模式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检验依赖结构贡献</w:t>
            </w:r>
          </w:p>
        </w:tc>
      </w:tr>
      <w:tr>
        <w:trPr>
          <w:cantSplit/>
        </w:trPr>
        <w:tc>
          <w:tcPr>
            <w:tcW w:type="dxa" w:w="1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−Behavior</w:t>
            </w:r>
          </w:p>
        </w:tc>
        <w:tc>
          <w:tcPr>
            <w:tcW w:type="dxa" w:w="37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移除行为/扰动一致性</w:t>
            </w:r>
          </w:p>
        </w:tc>
        <w:tc>
          <w:tcPr>
            <w:tcW w:type="dxa" w:w="3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检验无真值行为信号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−Influence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I(v)=1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检验传播影响因子</w:t>
            </w:r>
          </w:p>
        </w:tc>
      </w:tr>
      <w:tr>
        <w:trPr>
          <w:cantSplit/>
        </w:trPr>
        <w:tc>
          <w:tcPr>
            <w:tcW w:type="dxa" w:w="1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−Intervention</w:t>
            </w:r>
          </w:p>
        </w:tc>
        <w:tc>
          <w:tcPr>
            <w:tcW w:type="dxa" w:w="37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只对原表计算异常，不替换候选</w:t>
            </w:r>
          </w:p>
        </w:tc>
        <w:tc>
          <w:tcPr>
            <w:tcW w:type="dxa" w:w="3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检验“图干预”是否真正必要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K sensitivity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K=3/5/10/20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覆盖率与耗时权衡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10.7 E6：鲁棒性与干净表误报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在未注入错误的正确工作簿上运行工具。由于排名系统总能给出第一名，必须另外设置“是否报警”阈值；用开发集选择阈值，再在干净测试集报告工作簿级误报率。对窗口大小、权重、候选数和阈值做敏感性分析，展示主结论是否稳定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10.8 E7：真实表格外部验证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优先使用 Enron Error Corpus 中能确认错误公式和修复的样本，并按本项目支持语法筛选。筛选规则必须在看结果前固定，报告总样本数、排除原因和最终可用数。另选 3—5 个结构清晰的自建真实场景做完整案例，不把手工挑选的成功案例冒充总体统计。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10.9 E8：运行时间与规模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用不同公式数量和图密度的工作簿测量解析、建图、候选生成、干预评分和报告生成的分阶段耗时；每个规模重复至少 5 次，报告中位数与 P95。若大表过慢，先做候选预筛并缓存下游子图，而不是削减测试或只报最快一次。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对比方法与公平性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650"/>
        <w:gridCol w:w="4050"/>
        <w:gridCol w:w="2350"/>
        <w:gridCol w:w="1310"/>
      </w:tblGrid>
      <w:tr>
        <w:trPr>
          <w:cantSplit/>
          <w:tblHeader w:val="true"/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方法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实现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需要输出真值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Random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随机打乱候选公式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下界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Graph-only</w:t>
            </w:r>
          </w:p>
        </w:tc>
        <w:tc>
          <w:tcPr>
            <w:tcW w:type="dxa" w:w="40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图影响/局部图异常排序</w:t>
            </w:r>
          </w:p>
        </w:tc>
        <w:tc>
          <w:tcPr>
            <w:tcW w:type="dxa" w:w="2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验证图结构本身</w:t>
            </w:r>
          </w:p>
        </w:tc>
        <w:tc>
          <w:tcPr>
            <w:tcW w:type="dxa" w:w="1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Pattern-only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邻域公式模板离群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强简单基线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Excel提示</w:t>
            </w:r>
          </w:p>
        </w:tc>
        <w:tc>
          <w:tcPr>
            <w:tcW w:type="dxa" w:w="40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Excel内置不一致公式提示</w:t>
            </w:r>
          </w:p>
        </w:tc>
        <w:tc>
          <w:tcPr>
            <w:tcW w:type="dxa" w:w="2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用户熟悉的现实参照</w:t>
            </w:r>
          </w:p>
        </w:tc>
        <w:tc>
          <w:tcPr>
            <w:tcW w:type="dxa" w:w="1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ExceLint-like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信息论/空间公式异常的可复现适配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强无真值基线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WARDER-like</w:t>
            </w:r>
          </w:p>
        </w:tc>
        <w:tc>
          <w:tcPr>
            <w:tcW w:type="dxa" w:w="40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公式族聚类与候选修复适配</w:t>
            </w:r>
          </w:p>
        </w:tc>
        <w:tc>
          <w:tcPr>
            <w:tcW w:type="dxa" w:w="2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公式族方法参照</w:t>
            </w:r>
          </w:p>
        </w:tc>
        <w:tc>
          <w:tcPr>
            <w:tcW w:type="dxa" w:w="1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SEDMR-like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按公开蜕变关系思想实现的检测适配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行为一致性参照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SFL-Oracle</w:t>
            </w:r>
          </w:p>
        </w:tc>
        <w:tc>
          <w:tcPr>
            <w:tcW w:type="dxa" w:w="40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用已知受影响输出构造失败测试</w:t>
            </w:r>
          </w:p>
        </w:tc>
        <w:tc>
          <w:tcPr>
            <w:tcW w:type="dxa" w:w="2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有真值上界</w:t>
            </w:r>
          </w:p>
        </w:tc>
        <w:tc>
          <w:tcPr>
            <w:tcW w:type="dxa" w:w="1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需要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FormulaGuard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公式+图+行为+候选干预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本方法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无</w:t>
            </w:r>
          </w:p>
        </w:tc>
      </w:tr>
    </w:tbl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若某论文没有公开代码，必须在名称后加“‑like”或“reimplementation”，列出依据的论文段落、无法复现的细节和本项目采用的替代设置；不得把自写近似实现直接称作原作者系统。ExceLint 旧版代码可能存在构建兼容问题，可先尝试原实现，再保留透明的适配版本。[6][13]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11.1 公平比较协议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7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所有无真值方法只读取带错工作簿；任何标签文件均通过独立评测进程隔离。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7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同一开发集选择超参数，同一测试集一次性出最终结果；不得为 FormulaGuard 单独使用更多信息。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7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报告候选空间差异；如果某基线只能检查特定单元格，应同时给出共同候选集结果和原生设置结果。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7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SFL-Oracle 单列为有真值上界，不用它证明无真值方法“公平胜出”。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7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公开运行命令、配置、种子和失败日志；超时或崩溃也计入结果。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指标、统计与图表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4300"/>
        <w:gridCol w:w="2960"/>
      </w:tblGrid>
      <w:tr>
        <w:trPr>
          <w:cantSplit/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Top-k Accuracy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源错误是否出现在前k名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k=1/3/5，最直观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MRR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1 / 源错误名次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强调前排质量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EXAM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检查到源错误前需查看的公式比例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跨大小表格可比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Candidate Coverage@K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正确修复是否在候选集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分离生成与排序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Repair Top-k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正确/语义等价修复是否前k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修复实用性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Clean FPR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干净工作簿被报警的比例</w:t>
            </w:r>
          </w:p>
        </w:tc>
        <w:tc>
          <w:tcPr>
            <w:tcW w:type="dxa" w:w="2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避免工具逢表必报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Runtime / Memory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中位、P95、峰值内存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现场可用性</w:t>
            </w:r>
          </w:p>
        </w:tc>
      </w:tr>
    </w:tbl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统计上以工作簿为独立单位，使用分层 bootstrap（建议 1000 次）给出 95% 置信区间；对同一工作簿上两种方法的排名指标做配对 Wilcoxon 检验，并同时报告效应量。显著性不能替代实际提升：即使 p 值很小，若 Top-1 只提升 1 个百分点，也不应宣传为重大突破。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12.1 最终论文建议图表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8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表：总体主结果（无真值组）和有真值上界分开。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8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图：传播深度 vs Top-1/MRR 折线，带 95% 置信区间。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8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图：不同错误类型的 Top-5 分组柱状图。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8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表：消融结果与相对下降。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8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图：候选数 K 的覆盖率—运行时间双轴或两图。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8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案例图：一个真实错误的依赖子图、候选替换和能量变化。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8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表：失败案例分类，不隐藏方法弱点。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软件实现计划与仓库结构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50"/>
        <w:gridCol w:w="6010"/>
      </w:tblGrid>
      <w:tr>
        <w:trPr>
          <w:cantSplit/>
          <w:tblHeader w:val="true"/>
          <w:cantSplit/>
        </w:trP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路径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src/formula_parser.py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AST解析、A1/R1C1归一化</w:t>
            </w:r>
          </w:p>
        </w:tc>
      </w:tr>
      <w:tr>
        <w:trPr>
          <w:cantSplit/>
        </w:trPr>
        <w:tc>
          <w:tcPr>
            <w:tcW w:type="dxa" w:w="3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src/family.py</w:t>
            </w:r>
          </w:p>
        </w:tc>
        <w:tc>
          <w:tcPr>
            <w:tcW w:type="dxa" w:w="60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公式指纹、邻域和公式族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src/dependency_graph.py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依赖边、深度、下游子图</w:t>
            </w:r>
          </w:p>
        </w:tc>
      </w:tr>
      <w:tr>
        <w:trPr>
          <w:cantSplit/>
        </w:trPr>
        <w:tc>
          <w:tcPr>
            <w:tcW w:type="dxa" w:w="3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src/candidates.py</w:t>
            </w:r>
          </w:p>
        </w:tc>
        <w:tc>
          <w:tcPr>
            <w:tcW w:type="dxa" w:w="60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候选公式生成与编辑成本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src/energy.py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三类不一致能量</w:t>
            </w:r>
          </w:p>
        </w:tc>
      </w:tr>
      <w:tr>
        <w:trPr>
          <w:cantSplit/>
        </w:trPr>
        <w:tc>
          <w:tcPr>
            <w:tcW w:type="dxa" w:w="3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src/gir.py</w:t>
            </w:r>
          </w:p>
        </w:tc>
        <w:tc>
          <w:tcPr>
            <w:tcW w:type="dxa" w:w="60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干预重算、GIR排序和解释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src/recalculate.py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Excel COM/LibreOffice重算适配</w:t>
            </w:r>
          </w:p>
        </w:tc>
      </w:tr>
      <w:tr>
        <w:trPr>
          <w:cantSplit/>
        </w:trPr>
        <w:tc>
          <w:tcPr>
            <w:tcW w:type="dxa" w:w="3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bench/generators/</w:t>
            </w:r>
          </w:p>
        </w:tc>
        <w:tc>
          <w:tcPr>
            <w:tcW w:type="dxa" w:w="60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8—10个工作簿模板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bench/mutators.py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六类错误注入和标签记录</w:t>
            </w:r>
          </w:p>
        </w:tc>
      </w:tr>
      <w:tr>
        <w:trPr>
          <w:cantSplit/>
        </w:trPr>
        <w:tc>
          <w:tcPr>
            <w:tcW w:type="dxa" w:w="3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baselines/</w:t>
            </w:r>
          </w:p>
        </w:tc>
        <w:tc>
          <w:tcPr>
            <w:tcW w:type="dxa" w:w="60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全部对比方法，接口统一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scripts/run_experiments.py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读取YAML配置并批量执行</w:t>
            </w:r>
          </w:p>
        </w:tc>
      </w:tr>
      <w:tr>
        <w:trPr>
          <w:cantSplit/>
        </w:trPr>
        <w:tc>
          <w:tcPr>
            <w:tcW w:type="dxa" w:w="3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tests/</w:t>
            </w:r>
          </w:p>
        </w:tc>
        <w:tc>
          <w:tcPr>
            <w:tcW w:type="dxa" w:w="60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解析、建图、平移、重算、评分单测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results/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CSV、图、日志；按实验编号组织</w:t>
            </w:r>
          </w:p>
        </w:tc>
      </w:tr>
      <w:tr>
        <w:trPr>
          <w:cantSplit/>
        </w:trPr>
        <w:tc>
          <w:tcPr>
            <w:tcW w:type="dxa" w:w="3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report/</w:t>
            </w:r>
          </w:p>
        </w:tc>
        <w:tc>
          <w:tcPr>
            <w:tcW w:type="dxa" w:w="60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</w:rPr>
              <w:t>论文图表索引、案例和答辩材料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13.1 模块接口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所有定位器实现统一接口 rank(workbook_path) → [{cell, score, repair, evidence}]。基准评测器只读取结果 JSON 和隐藏标签，防止算法误读真值。每次实验生成 manifest.json，记录 Git 提交号、配置哈希、数据哈希和环境版本。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13.2 最小可用版本（MVP）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9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能读取单工作簿，解析支持范围内的公式并构建依赖图。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9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能识别公式族、生成邻居平移候选并计算简化 GIR。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9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能在 20 个手工微型表格上输出 Top-5 和影响路径。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9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能自动注入 M1/M2 两类错误并生成隐藏标签。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19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能一键运行 Random、Pattern-only、Graph-only 和 FormulaGuard。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MVP必须在第二周末完成。后续所有高级特征都建立在它之上；如果时间紧张，优先提高基准质量和实验可信度，不追求堆叠更多公式函数或模型。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进度安排（2026.08.10—09.15）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500"/>
        <w:gridCol w:w="2750"/>
        <w:gridCol w:w="2800"/>
        <w:gridCol w:w="2310"/>
      </w:tblGrid>
      <w:tr>
        <w:trPr>
          <w:cantSplit/>
          <w:tblHeader w:val="true"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任务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产物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08.10—08.12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锁定问题、范围和文献矩阵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研究问题、原创边界、20个微型表格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范围不再随意扩张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08.13—08.18</w:t>
            </w:r>
          </w:p>
        </w:tc>
        <w:tc>
          <w:tcPr>
            <w:tcW w:type="dxa" w:w="27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解析、归一化、依赖图、单测</w:t>
            </w:r>
          </w:p>
        </w:tc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E0初版；可画依赖路径</w:t>
            </w:r>
          </w:p>
        </w:tc>
        <w:tc>
          <w:tcPr>
            <w:tcW w:type="dxa" w:w="2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核心单测通过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08.19—08.23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公式族、候选、简化GIR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MVP命令行工具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20例Top-5可检查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08.24—08.28</w:t>
            </w:r>
          </w:p>
        </w:tc>
        <w:tc>
          <w:tcPr>
            <w:tcW w:type="dxa" w:w="27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模板生成器与六类变异</w:t>
            </w:r>
          </w:p>
        </w:tc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PropagationBench v0.1</w:t>
            </w:r>
          </w:p>
        </w:tc>
        <w:tc>
          <w:tcPr>
            <w:tcW w:type="dxa" w:w="2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≥300有效实例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08.29—09.02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基线、批量实验和消融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E1/E2/E5初版结果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能形成主结果表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09.03—09.06</w:t>
            </w:r>
          </w:p>
        </w:tc>
        <w:tc>
          <w:tcPr>
            <w:tcW w:type="dxa" w:w="27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扩充样本、深度/修复/性能</w:t>
            </w:r>
          </w:p>
        </w:tc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E3/E4/E8结果</w:t>
            </w:r>
          </w:p>
        </w:tc>
        <w:tc>
          <w:tcPr>
            <w:tcW w:type="dxa" w:w="2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结果可复现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09.07—09.09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真实表格、失败案例、误报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E6/E7与2个完整案例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不只在生成数据有效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09.10—09.12</w:t>
            </w:r>
          </w:p>
        </w:tc>
        <w:tc>
          <w:tcPr>
            <w:tcW w:type="dxa" w:w="27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论文、图表、系统演示视频</w:t>
            </w:r>
          </w:p>
        </w:tc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完整初稿与演示</w:t>
            </w:r>
          </w:p>
        </w:tc>
        <w:tc>
          <w:tcPr>
            <w:tcW w:type="dxa" w:w="2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指导教师完成首轮审阅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09.13—09.14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复现实验、合规、答辩演练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最终包、AI披露、备份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冻结代码和结果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09.15</w:t>
            </w:r>
          </w:p>
        </w:tc>
        <w:tc>
          <w:tcPr>
            <w:tcW w:type="dxa" w:w="27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仅做提交与应急</w:t>
            </w:r>
          </w:p>
        </w:tc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按官方系统完成提交</w:t>
            </w:r>
          </w:p>
        </w:tc>
        <w:tc>
          <w:tcPr>
            <w:tcW w:type="dxa" w:w="2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6"/>
              </w:rPr>
              <w:t>24:00前完成并留凭证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1F1"/>
          <w:left w:val="single" w:sz="4" w:space="0" w:color="FFF1F1"/>
          <w:bottom w:val="single" w:sz="4" w:space="0" w:color="FFF1F1"/>
          <w:right w:val="single" w:sz="4" w:space="0" w:color="FFF1F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1F1"/>
          </w:tcPr>
          <w:p>
            <w:pPr>
              <w:spacing w:before="2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9B1C1C"/>
                <w:sz w:val="21"/>
              </w:rPr>
              <w:t>时间管理红线</w:t>
            </w:r>
          </w:p>
          <w:p>
            <w:pPr>
              <w:spacing w:before="0" w:after="20" w:line="288" w:lineRule="auto"/>
            </w:pPr>
            <w:r>
              <w:rPr>
                <w:rFonts w:ascii="Microsoft YaHei" w:hAnsi="Microsoft YaHei" w:eastAsia="Microsoft YaHei" w:cs="Microsoft YaHei"/>
                <w:color w:val="0B2545"/>
                <w:sz w:val="20"/>
              </w:rPr>
              <w:t>9月12日后禁止加入新算法模块；9月13日起只做复现、修错、排版和演练。9月15日不安排关键实验，以免提交前出现不可恢复问题。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人员分工与每周工作节奏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以下按 1—3 名学生设计，可根据真实团队填写。即使分工，每名学生都必须理解完整问题和主实验；核心代码、数据和论文不能成为某一个人的“黑箱”。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4150"/>
        <w:gridCol w:w="3310"/>
      </w:tblGrid>
      <w:tr>
        <w:trPr>
          <w:cantSplit/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4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答辩要求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学生A/负责人</w:t>
            </w:r>
          </w:p>
        </w:tc>
        <w:tc>
          <w:tcPr>
            <w:tcW w:type="dxa" w:w="4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依赖图、GIR、实验总控、论文主线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能从零解释算法与主结果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学生B（可选）</w:t>
            </w:r>
          </w:p>
        </w:tc>
        <w:tc>
          <w:tcPr>
            <w:tcW w:type="dxa" w:w="41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基准生成、错误注入、重算验证</w:t>
            </w:r>
          </w:p>
        </w:tc>
        <w:tc>
          <w:tcPr>
            <w:tcW w:type="dxa" w:w="3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能说明标签为何可信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学生C（可选）</w:t>
            </w:r>
          </w:p>
        </w:tc>
        <w:tc>
          <w:tcPr>
            <w:tcW w:type="dxa" w:w="4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基线复现、统计图表、真实案例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能说明比较为何公平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指导教师</w:t>
            </w:r>
          </w:p>
        </w:tc>
        <w:tc>
          <w:tcPr>
            <w:tcW w:type="dxa" w:w="41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范围把关、学术规范、方法质疑、答辩训练</w:t>
            </w:r>
          </w:p>
        </w:tc>
        <w:tc>
          <w:tcPr>
            <w:tcW w:type="dxa" w:w="3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不代写核心代码与结论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15.1 建议日节奏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20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每天开始：写下唯一一个可验证目标，例如“让范围边界变异通过20个测试”。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20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每天结束：提交代码、保存日志、记录失败原因和第二天动作，不用口头记忆代替记录。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20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每两天：从空环境运行一次主命令，防止只有开发者电脑能运行。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20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每周：向指导教师做一次10分钟演示，重点讲证据和失败，不只展示界面。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风险、止损与备选方案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720"/>
        <w:gridCol w:w="720"/>
        <w:gridCol w:w="3900"/>
        <w:gridCol w:w="2320"/>
      </w:tblGrid>
      <w:tr>
        <w:trPr>
          <w:cantSplit/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概率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影响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缓解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触发止损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公式解析范围过大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高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冻结支持语法；不支持项明确记录并跳过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MVP两天内仍不稳定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Excel批量重算不稳定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中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高</w:t>
            </w:r>
          </w:p>
        </w:tc>
        <w:tc>
          <w:tcPr>
            <w:tcW w:type="dxa" w:w="3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进程隔离、超时、备份副本；LibreOffice备选</w:t>
            </w:r>
          </w:p>
        </w:tc>
        <w:tc>
          <w:tcPr>
            <w:tcW w:type="dxa" w:w="23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连续&gt;5%文件失败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候选覆盖率低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中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先强化邻域/块模板，再考虑AST编辑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Coverage@10&lt;70%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GIR不优于模式基线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中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高</w:t>
            </w:r>
          </w:p>
        </w:tc>
        <w:tc>
          <w:tcPr>
            <w:tcW w:type="dxa" w:w="3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查深度分层和能量分量；收缩主张</w:t>
            </w:r>
          </w:p>
        </w:tc>
        <w:tc>
          <w:tcPr>
            <w:tcW w:type="dxa" w:w="23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两轮修正仍无稳定提升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真实语料难复现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高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中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固定筛选规则；以案例分析补充，不伪造总体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可用真实样本&lt;15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运行速度过慢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中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中</w:t>
            </w:r>
          </w:p>
        </w:tc>
        <w:tc>
          <w:tcPr>
            <w:tcW w:type="dxa" w:w="3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候选预筛、缓存、局部下游重算</w:t>
            </w:r>
          </w:p>
        </w:tc>
        <w:tc>
          <w:tcPr>
            <w:tcW w:type="dxa" w:w="23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1000公式P95&gt;60秒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时间被论文挤压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中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9月7日起边实验边写；12日冻结功能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9月10日仍无完整初稿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AI使用不合规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低</w:t>
            </w:r>
          </w:p>
        </w:tc>
        <w:tc>
          <w:tcPr>
            <w:tcW w:type="dxa" w:w="7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高</w:t>
            </w:r>
          </w:p>
        </w:tc>
        <w:tc>
          <w:tcPr>
            <w:tcW w:type="dxa" w:w="3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事先获教师同意；保留工具/版本/提示记录</w:t>
            </w:r>
          </w:p>
        </w:tc>
        <w:tc>
          <w:tcPr>
            <w:tcW w:type="dxa" w:w="23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5"/>
              </w:rPr>
              <w:t>无法还原使用记录</w:t>
            </w:r>
          </w:p>
        </w:tc>
      </w:tr>
    </w:tbl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止损并不等于放弃项目，而是把论文主张缩到已被证据支持的范围。例如，如果修复排序不稳定，仍可把主要成果限定为根因定位和候选覆盖；如果真实样本过少，就把真实部分定位为案例研究，不能把小样本包装为大规模验证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17. 银奖目标的内部验收门槛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下列数值是团队在实验前设定的“竞争力目标”，用于判断是否需要改进或收缩主张，不是奖项保证，也不是当前结果。最终论文必须报告真实结果，即使未达目标。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650"/>
        <w:gridCol w:w="6410"/>
        <w:gridCol w:w="1300"/>
      </w:tblGrid>
      <w:tr>
        <w:trPr>
          <w:cantSplit/>
          <w:tblHeader w:val="true"/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门槛</w:t>
            </w:r>
          </w:p>
        </w:tc>
        <w:tc>
          <w:tcPr>
            <w:tcW w:type="dxa" w:w="6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判定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性质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G1 工程</w:t>
            </w:r>
          </w:p>
        </w:tc>
        <w:tc>
          <w:tcPr>
            <w:tcW w:type="dxa" w:w="6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关键单测全部通过；主实验可一键复现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G2 数据</w:t>
            </w:r>
          </w:p>
        </w:tc>
        <w:tc>
          <w:tcPr>
            <w:tcW w:type="dxa" w:w="64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≥800个有效变异；标签抽查无系统性错误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G3 主结果</w:t>
            </w:r>
          </w:p>
        </w:tc>
        <w:tc>
          <w:tcPr>
            <w:tcW w:type="dxa" w:w="6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Top-1相对最强无真值基线提升≥10个百分点，且95%CI稳定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强目标</w:t>
            </w:r>
          </w:p>
        </w:tc>
      </w:tr>
      <w:tr>
        <w:trPr>
          <w:cantSplit/>
        </w:trPr>
        <w:tc>
          <w:tcPr>
            <w:tcW w:type="dxa" w:w="1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G4 实用性</w:t>
            </w:r>
          </w:p>
        </w:tc>
        <w:tc>
          <w:tcPr>
            <w:tcW w:type="dxa" w:w="64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Top-5≥80%；用户最多检查5个公式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强目标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G5 修复</w:t>
            </w:r>
          </w:p>
        </w:tc>
        <w:tc>
          <w:tcPr>
            <w:tcW w:type="dxa" w:w="6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Candidate Coverage@10≥85%；Repair Top-1≥50%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1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G6 真实</w:t>
            </w:r>
          </w:p>
        </w:tc>
        <w:tc>
          <w:tcPr>
            <w:tcW w:type="dxa" w:w="64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真实可用错误样本Top-5约≥60%，并给出失败分析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G7 误报</w:t>
            </w:r>
          </w:p>
        </w:tc>
        <w:tc>
          <w:tcPr>
            <w:tcW w:type="dxa" w:w="6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干净工作簿报警率≤15%（阈值由开发集固定）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1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G8 性能</w:t>
            </w:r>
          </w:p>
        </w:tc>
        <w:tc>
          <w:tcPr>
            <w:tcW w:type="dxa" w:w="64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≤1000公式工作簿P95运行时间≤30秒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G9 展示</w:t>
            </w:r>
          </w:p>
        </w:tc>
        <w:tc>
          <w:tcPr>
            <w:tcW w:type="dxa" w:w="6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3分钟演示可完整重现一个定位案例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必须</w:t>
            </w:r>
          </w:p>
        </w:tc>
      </w:tr>
      <w:tr>
        <w:trPr>
          <w:cantSplit/>
        </w:trPr>
        <w:tc>
          <w:tcPr>
            <w:tcW w:type="dxa" w:w="1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G10 学术</w:t>
            </w:r>
          </w:p>
        </w:tc>
        <w:tc>
          <w:tcPr>
            <w:tcW w:type="dxa" w:w="64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文献、代码来源、AI使用和失败结果全部披露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必须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DF7F1"/>
          <w:left w:val="single" w:sz="4" w:space="0" w:color="EDF7F1"/>
          <w:bottom w:val="single" w:sz="4" w:space="0" w:color="EDF7F1"/>
          <w:right w:val="single" w:sz="4" w:space="0" w:color="EDF7F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F7F1"/>
          </w:tcPr>
          <w:p>
            <w:pPr>
              <w:spacing w:before="2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76749"/>
                <w:sz w:val="21"/>
              </w:rPr>
              <w:t>真正影响奖项的证据</w:t>
            </w:r>
          </w:p>
          <w:p>
            <w:pPr>
              <w:spacing w:before="0" w:after="20" w:line="288" w:lineRule="auto"/>
            </w:pPr>
            <w:r>
              <w:rPr>
                <w:rFonts w:ascii="Microsoft YaHei" w:hAnsi="Microsoft YaHei" w:eastAsia="Microsoft YaHei" w:cs="Microsoft YaHei"/>
                <w:color w:val="0B2545"/>
                <w:sz w:val="20"/>
              </w:rPr>
              <w:t>优先级依次是：标签可信 → 公平基线 → 稳定提升 → 真实案例 → 可解释演示 → 排版包装。漂亮界面不能补救无效实验，复杂公式也不能替代清楚的问题和证据。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18. 论文、演示与最终交付物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18.1 论文建议结构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7460"/>
      </w:tblGrid>
      <w:tr>
        <w:trPr>
          <w:cantSplit/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部分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必须回答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摘要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问题、方法、数据、最关键结果和限制；结果出来后最后写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1 引言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静默错误案例、无真值难点、贡献列表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2 相关工作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按调试、异常、修复、蜕变测试分类，界定差异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3 问题定义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工作簿图、源错误、静默性、oracle-free输入输出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4 方法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归一化、公式族、图、能量、候选、GIR、复杂度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5 基准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模板、变异、深度、验证、划分和统计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6 实验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RQ、基线、指标、主结果、消融、真实验证、性能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7 讨论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为何有效、失败案例、威胁、适用边界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8 结论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回答RQ，不加入未验证的新主张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18.2 最终交付清单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21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研究论文 PDF 与可编辑源文件。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21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FormulaGuard 源代码、依赖锁定文件、README 和开源许可证说明。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21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PropagationBench 生成脚本、可公开样本、隐藏标签评测脚本和数据说明。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21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全部实验配置、原始 CSV、统计脚本、图表生成脚本和结果索引。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21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3—5分钟系统演示视频：加载表格、输出Top-5、查看影响路径、验证修复。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21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答辩PPT、1页项目速览、失败案例清单和常见问题答案。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21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第三方代码/数据来源清单、AI辅助使用说明和必要的对话记录。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21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离线备份与一键运行包，确保现场网络不稳定也能演示。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18.3 答辩必须能回答的问题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22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为什么不是简单的 ExceLint + 依赖图？请用消融和干预定义回答。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22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算法没有正确输出，怎样知道某个替换更好？请解释不一致能量与真值隔离。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22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为什么你定位的是源错误，而不是影响最大的上游节点？请展示反例和候选替换结果。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22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基准是不是为自己的方法量身定做？请解释模板隔离、真实表格和公平基线。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22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哪些样本失败？失败是否集中在唯一公式、复杂函数或跨表结构？</w:t>
      </w:r>
    </w:p>
    <w:p>
      <w:pPr>
        <w:spacing w:before="0" w:after="80" w:line="290" w:lineRule="auto"/>
        <w:ind w:left="540" w:hanging="279"/>
        <w:jc w:val="left"/>
        <w:numPr>
          <w:ilvl w:val="0"/>
          <w:numId w:val="22"/>
        </w:numPr>
      </w:pPr>
      <w:r>
        <w:rPr>
          <w:rFonts w:ascii="Microsoft YaHei" w:hAnsi="Microsoft YaHei" w:eastAsia="Microsoft YaHei" w:cs="Microsoft YaHei"/>
          <w:color w:val="0B2545"/>
          <w:sz w:val="21"/>
        </w:rPr>
        <w:t>代码中你本人完成了什么？能否现场修改一个参数并重新运行？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19. 学术诚信与AI使用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0B2545"/>
          <w:sz w:val="22"/>
        </w:rPr>
        <w:t>竞赛官方对人工智能工具的使用有专门要求，应以官方最新规则和指导教师意见为准。[16] 本项目可以使用 AI 帮助查找关键词、解释文献、检查代码、润色表达和生成测试想法，但研究问题、算法决策、代码验证、实验执行、数据判断和结论必须由学生理解并负责。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7460"/>
      </w:tblGrid>
      <w:tr>
        <w:trPr>
          <w:cantSplit/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使用前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取得指导教师同意；记录允许的工具范围；确认官方当年规则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使用中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记录工具名称、版本、日期、用途、关键提示、采用/未采用内容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代码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逐行理解后再采用；标出第三方或AI辅助部分；用测试证明正确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文献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AI给出的题名、作者、年份必须回到论文或官方页面核实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论文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不得让AI伪造实验、引用、图表或结论；保留写作迭代记录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提交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按规则提交披露表和需要的对话记录；学生能独立答辩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8E8"/>
          <w:left w:val="single" w:sz="4" w:space="0" w:color="FFF8E8"/>
          <w:bottom w:val="single" w:sz="4" w:space="0" w:color="FFF8E8"/>
          <w:right w:val="single" w:sz="4" w:space="0" w:color="FFF8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before="2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7A5A00"/>
                <w:sz w:val="21"/>
              </w:rPr>
              <w:t>本计划本身的披露</w:t>
            </w:r>
          </w:p>
          <w:p>
            <w:pPr>
              <w:spacing w:before="0" w:after="20" w:line="288" w:lineRule="auto"/>
            </w:pPr>
            <w:r>
              <w:rPr>
                <w:rFonts w:ascii="Microsoft YaHei" w:hAnsi="Microsoft YaHei" w:eastAsia="Microsoft YaHei" w:cs="Microsoft YaHei"/>
                <w:color w:val="0B2545"/>
                <w:sz w:val="20"/>
              </w:rPr>
              <w:t>本研究计划书使用了 OpenAI Codex 辅助结构化、措辞与版式生成。参赛团队应由学生和指导教师逐条审核、修改并确认，后续按竞赛规则如实披露，不应把本文件直接当作学生独立完成的最终论文。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20. 参考资料与官方链接</w:t>
      </w:r>
    </w:p>
    <w:p>
      <w:pPr>
        <w:spacing w:after="100" w:line="259" w:lineRule="auto"/>
        <w:ind w:left="403" w:hanging="403"/>
        <w:jc w:val="left"/>
      </w:pPr>
      <w:r>
        <w:rPr>
          <w:rFonts w:ascii="Microsoft YaHei" w:hAnsi="Microsoft YaHei" w:eastAsia="Microsoft YaHei" w:cs="Microsoft YaHei"/>
          <w:color w:val="0B2545"/>
          <w:sz w:val="17"/>
        </w:rPr>
        <w:t>[1] Erwig, M. et al. GoalDebug: A Spreadsheet Debugger for End Users. ICSE, 2007. https://web.engr.oregonstate.edu/~erwig/papers/GoalDebug_ICSE07.pdf</w:t>
      </w:r>
    </w:p>
    <w:p>
      <w:pPr>
        <w:spacing w:after="100" w:line="259" w:lineRule="auto"/>
        <w:ind w:left="403" w:hanging="403"/>
        <w:jc w:val="left"/>
      </w:pPr>
      <w:r>
        <w:rPr>
          <w:rFonts w:ascii="Microsoft YaHei" w:hAnsi="Microsoft YaHei" w:eastAsia="Microsoft YaHei" w:cs="Microsoft YaHei"/>
          <w:color w:val="0B2545"/>
          <w:sz w:val="17"/>
        </w:rPr>
        <w:t>[2] Abraham, R.; Erwig, M. Spreadsheet Debugging. 2008. https://arxiv.org/abs/0801.4280</w:t>
      </w:r>
    </w:p>
    <w:p>
      <w:pPr>
        <w:spacing w:after="100" w:line="259" w:lineRule="auto"/>
        <w:ind w:left="403" w:hanging="403"/>
        <w:jc w:val="left"/>
      </w:pPr>
      <w:r>
        <w:rPr>
          <w:rFonts w:ascii="Microsoft YaHei" w:hAnsi="Microsoft YaHei" w:eastAsia="Microsoft YaHei" w:cs="Microsoft YaHei"/>
          <w:color w:val="0B2545"/>
          <w:sz w:val="17"/>
        </w:rPr>
        <w:t>[3] Hofer, B. et al. On the Empirical Evaluation of Fault Localization Techniques for Spreadsheets. 2013. https://researchportal.ulisboa.pt/pt/publications/on-the-empirical-evaluation-of-fault-localization-techniques-for-/</w:t>
      </w:r>
    </w:p>
    <w:p>
      <w:pPr>
        <w:spacing w:after="100" w:line="259" w:lineRule="auto"/>
        <w:ind w:left="403" w:hanging="403"/>
        <w:jc w:val="left"/>
      </w:pPr>
      <w:r>
        <w:rPr>
          <w:rFonts w:ascii="Microsoft YaHei" w:hAnsi="Microsoft YaHei" w:eastAsia="Microsoft YaHei" w:cs="Microsoft YaHei"/>
          <w:color w:val="0B2545"/>
          <w:sz w:val="17"/>
        </w:rPr>
        <w:t>[4] Hofer, B. et al. The FaultySheet Detective: When Smells Meet Fault Localization. 2014. https://gzoltar.com/pub/18.pdf</w:t>
      </w:r>
    </w:p>
    <w:p>
      <w:pPr>
        <w:spacing w:after="100" w:line="259" w:lineRule="auto"/>
        <w:ind w:left="403" w:hanging="403"/>
        <w:jc w:val="left"/>
      </w:pPr>
      <w:r>
        <w:rPr>
          <w:rFonts w:ascii="Microsoft YaHei" w:hAnsi="Microsoft YaHei" w:eastAsia="Microsoft YaHei" w:cs="Microsoft YaHei"/>
          <w:color w:val="0B2545"/>
          <w:sz w:val="17"/>
        </w:rPr>
        <w:t>[5] MUSSCO: A Mutation-Based Spreadsheet Formula Repair Approach. 2015. https://dl.ifip.org/IFIP-LNCS-9447/hal-01470160</w:t>
      </w:r>
    </w:p>
    <w:p>
      <w:pPr>
        <w:spacing w:after="100" w:line="259" w:lineRule="auto"/>
        <w:ind w:left="403" w:hanging="403"/>
        <w:jc w:val="left"/>
      </w:pPr>
      <w:r>
        <w:rPr>
          <w:rFonts w:ascii="Microsoft YaHei" w:hAnsi="Microsoft YaHei" w:eastAsia="Microsoft YaHei" w:cs="Microsoft YaHei"/>
          <w:color w:val="0B2545"/>
          <w:sz w:val="17"/>
        </w:rPr>
        <w:t>[6] Barowy, D. W. et al. ExceLint: Automatically Finding Spreadsheet Formula Errors. OOPSLA, 2018. https://www.microsoft.com/en-us/research/publication/excelint-automatically-finding-spreadsheet-formula-errors/</w:t>
      </w:r>
    </w:p>
    <w:p>
      <w:pPr>
        <w:spacing w:after="100" w:line="259" w:lineRule="auto"/>
        <w:ind w:left="403" w:hanging="403"/>
        <w:jc w:val="left"/>
      </w:pPr>
      <w:r>
        <w:rPr>
          <w:rFonts w:ascii="Microsoft YaHei" w:hAnsi="Microsoft YaHei" w:eastAsia="Microsoft YaHei" w:cs="Microsoft YaHei"/>
          <w:color w:val="0B2545"/>
          <w:sz w:val="17"/>
        </w:rPr>
        <w:t>[7] Metric-based Fault Prediction for Spreadsheets, project resources. https://spreadsheet-research.github.io/Metric-based-Fault-Prediction-for-Spreadsheets/</w:t>
      </w:r>
    </w:p>
    <w:p>
      <w:pPr>
        <w:spacing w:after="100" w:line="259" w:lineRule="auto"/>
        <w:ind w:left="403" w:hanging="403"/>
        <w:jc w:val="left"/>
      </w:pPr>
      <w:r>
        <w:rPr>
          <w:rFonts w:ascii="Microsoft YaHei" w:hAnsi="Microsoft YaHei" w:eastAsia="Microsoft YaHei" w:cs="Microsoft YaHei"/>
          <w:color w:val="0B2545"/>
          <w:sz w:val="17"/>
        </w:rPr>
        <w:t>[8] WARDER: spreadsheet formula error detection/repair through formula structure and clustering. 2020. https://www.sciencedirect.com/science/article/pii/S0164121220300935</w:t>
      </w:r>
    </w:p>
    <w:p>
      <w:pPr>
        <w:spacing w:after="100" w:line="259" w:lineRule="auto"/>
        <w:ind w:left="403" w:hanging="403"/>
        <w:jc w:val="left"/>
      </w:pPr>
      <w:r>
        <w:rPr>
          <w:rFonts w:ascii="Microsoft YaHei" w:hAnsi="Microsoft YaHei" w:eastAsia="Microsoft YaHei" w:cs="Microsoft YaHei"/>
          <w:color w:val="0B2545"/>
          <w:sz w:val="17"/>
        </w:rPr>
        <w:t>[9] Bavishi, R. et al. LaMirage: Neurosymbolic Repair for Low-Code Formula Languages. 2022. https://www.microsoft.com/en-us/research/publication/neurosymbolic-repair-for-low-code-formula-languages/</w:t>
      </w:r>
    </w:p>
    <w:p>
      <w:pPr>
        <w:spacing w:after="100" w:line="259" w:lineRule="auto"/>
        <w:ind w:left="403" w:hanging="403"/>
        <w:jc w:val="left"/>
      </w:pPr>
      <w:r>
        <w:rPr>
          <w:rFonts w:ascii="Microsoft YaHei" w:hAnsi="Microsoft YaHei" w:eastAsia="Microsoft YaHei" w:cs="Microsoft YaHei"/>
          <w:color w:val="0B2545"/>
          <w:sz w:val="17"/>
        </w:rPr>
        <w:t>[10] FLAME: A Small Language Model for Spreadsheet Formulas. 2023. https://arxiv.org/abs/2301.13779</w:t>
      </w:r>
    </w:p>
    <w:p>
      <w:pPr>
        <w:spacing w:after="100" w:line="259" w:lineRule="auto"/>
        <w:ind w:left="403" w:hanging="403"/>
        <w:jc w:val="left"/>
      </w:pPr>
      <w:r>
        <w:rPr>
          <w:rFonts w:ascii="Microsoft YaHei" w:hAnsi="Microsoft YaHei" w:eastAsia="Microsoft YaHei" w:cs="Microsoft YaHei"/>
          <w:color w:val="0B2545"/>
          <w:sz w:val="17"/>
        </w:rPr>
        <w:t>[11] FoRepBench: A Benchmark for Context-Aware Spreadsheet Formula Repair. 2025. https://kdd-eval-workshop.github.io/genai-evaluation-kdd2025/assets/papers/Submission%2033.pdf</w:t>
      </w:r>
    </w:p>
    <w:p>
      <w:pPr>
        <w:spacing w:after="100" w:line="259" w:lineRule="auto"/>
        <w:ind w:left="403" w:hanging="403"/>
        <w:jc w:val="left"/>
      </w:pPr>
      <w:r>
        <w:rPr>
          <w:rFonts w:ascii="Microsoft YaHei" w:hAnsi="Microsoft YaHei" w:eastAsia="Microsoft YaHei" w:cs="Microsoft YaHei"/>
          <w:color w:val="0B2545"/>
          <w:sz w:val="17"/>
        </w:rPr>
        <w:t>[12] SEDMR: Spreadsheet Error Detection Based on Metamorphic Relations. 2026. https://www.sciencedirect.com/science/article/abs/pii/S0950584926000637</w:t>
      </w:r>
    </w:p>
    <w:p>
      <w:pPr>
        <w:spacing w:after="100" w:line="259" w:lineRule="auto"/>
        <w:ind w:left="403" w:hanging="403"/>
        <w:jc w:val="left"/>
      </w:pPr>
      <w:r>
        <w:rPr>
          <w:rFonts w:ascii="Microsoft YaHei" w:hAnsi="Microsoft YaHei" w:eastAsia="Microsoft YaHei" w:cs="Microsoft YaHei"/>
          <w:color w:val="0B2545"/>
          <w:sz w:val="17"/>
        </w:rPr>
        <w:t>[13] ExceLint source repository. https://github.com/ExceLint/ExceLint</w:t>
      </w:r>
    </w:p>
    <w:p>
      <w:pPr>
        <w:spacing w:after="100" w:line="259" w:lineRule="auto"/>
        <w:ind w:left="403" w:hanging="403"/>
        <w:jc w:val="left"/>
      </w:pPr>
      <w:r>
        <w:rPr>
          <w:rFonts w:ascii="Microsoft YaHei" w:hAnsi="Microsoft YaHei" w:eastAsia="Microsoft YaHei" w:cs="Microsoft YaHei"/>
          <w:color w:val="0B2545"/>
          <w:sz w:val="17"/>
        </w:rPr>
        <w:t>[14] Enron Error Corpus. https://spreadsheets.sai.tugraz.at/index.php/corpora-for-benchmarking/enron-error-corpus/</w:t>
      </w:r>
    </w:p>
    <w:p>
      <w:pPr>
        <w:spacing w:after="100" w:line="259" w:lineRule="auto"/>
        <w:ind w:left="403" w:hanging="403"/>
        <w:jc w:val="left"/>
      </w:pPr>
      <w:r>
        <w:rPr>
          <w:rFonts w:ascii="Microsoft YaHei" w:hAnsi="Microsoft YaHei" w:eastAsia="Microsoft YaHei" w:cs="Microsoft YaHei"/>
          <w:color w:val="0B2545"/>
          <w:sz w:val="17"/>
        </w:rPr>
        <w:t>[15] 丘成桐中学科学奖：2026日程、评审标准与参赛规则。https://www.yau-awards.com/page-schedule.html ; https://www.yau-awards.com/page-criteria.html ; https://www.yau-awards.com/page-rule.html</w:t>
      </w:r>
    </w:p>
    <w:p>
      <w:pPr>
        <w:spacing w:after="100" w:line="259" w:lineRule="auto"/>
        <w:ind w:left="403" w:hanging="403"/>
        <w:jc w:val="left"/>
      </w:pPr>
      <w:r>
        <w:rPr>
          <w:rFonts w:ascii="Microsoft YaHei" w:hAnsi="Microsoft YaHei" w:eastAsia="Microsoft YaHei" w:cs="Microsoft YaHei"/>
          <w:color w:val="0B2545"/>
          <w:sz w:val="17"/>
        </w:rPr>
        <w:t>[16] 丘成桐中学科学奖：人工智能工具使用规则。https://www.yau-awards.com/en/show-86-59.html</w:t>
      </w:r>
    </w:p>
    <w:p>
      <w:pPr>
        <w:keepLines w:val="0"/>
        <w:spacing w:after="160"/>
        <w:jc w:val="both"/>
      </w:pPr>
      <w:r>
        <w:rPr>
          <w:rFonts w:ascii="Microsoft YaHei" w:hAnsi="Microsoft YaHei" w:eastAsia="Microsoft YaHei" w:cs="Microsoft YaHei"/>
          <w:color w:val="9B1C1C"/>
          <w:sz w:val="18"/>
        </w:rPr>
        <w:t>注：正式论文写作时，应下载并阅读原文，补齐作者、期刊/会议、卷期页码和 DOI；不得只根据网页摘要或AI转述引用。官方日程和规则可能更新，提交前再次核对官网。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附录A：单个错误实例记录模板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500"/>
        <w:gridCol w:w="6860"/>
      </w:tblGrid>
      <w:tr>
        <w:trPr>
          <w:cantSplit/>
          <w:tblHeader w:val="true"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instance_id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唯一编号，例如 budget_03_M2_d4_seed17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clean_workbook</w:t>
            </w:r>
          </w:p>
        </w:tc>
        <w:tc>
          <w:tcPr>
            <w:tcW w:type="dxa" w:w="6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正确工作簿文件及SHA-256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mutant_workbook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带错工作簿文件及SHA-256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source_cell</w:t>
            </w:r>
          </w:p>
        </w:tc>
        <w:tc>
          <w:tcPr>
            <w:tcW w:type="dxa" w:w="6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源错误工作表与地址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original_formula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正确公式，仅评测端可见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mutated_formula</w:t>
            </w:r>
          </w:p>
        </w:tc>
        <w:tc>
          <w:tcPr>
            <w:tcW w:type="dxa" w:w="6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错误公式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mutation_type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M1—M6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propagation_depth</w:t>
            </w:r>
          </w:p>
        </w:tc>
        <w:tc>
          <w:tcPr>
            <w:tcW w:type="dxa" w:w="6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到指定汇总输出的最短路径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affected_cells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受影响下游列表或数量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recalc_engine</w:t>
            </w:r>
          </w:p>
        </w:tc>
        <w:tc>
          <w:tcPr>
            <w:tcW w:type="dxa" w:w="6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Excel/LibreOffice版本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validation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静默、传播、可恢复、双引擎一致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seed / generator</w:t>
            </w:r>
          </w:p>
        </w:tc>
        <w:tc>
          <w:tcPr>
            <w:tcW w:type="dxa" w:w="6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随机种子与生成器版本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附录B：每次主实验运行清单</w:t>
      </w:r>
    </w:p>
    <w:p>
      <w:pPr>
        <w:keepLines w:val="0"/>
        <w:spacing w:after="100"/>
        <w:jc w:val="left"/>
      </w:pPr>
      <w:r>
        <w:rPr>
          <w:rFonts w:ascii="Microsoft YaHei" w:hAnsi="Microsoft YaHei" w:eastAsia="Microsoft YaHei" w:cs="Microsoft YaHei"/>
          <w:color w:val="0B2545"/>
          <w:sz w:val="20"/>
        </w:rPr>
        <w:t>□ 工作区干净，代码已提交，记录当前提交号。</w:t>
      </w:r>
    </w:p>
    <w:p>
      <w:pPr>
        <w:keepLines w:val="0"/>
        <w:spacing w:after="100"/>
        <w:jc w:val="left"/>
      </w:pPr>
      <w:r>
        <w:rPr>
          <w:rFonts w:ascii="Microsoft YaHei" w:hAnsi="Microsoft YaHei" w:eastAsia="Microsoft YaHei" w:cs="Microsoft YaHei"/>
          <w:color w:val="0B2545"/>
          <w:sz w:val="20"/>
        </w:rPr>
        <w:t>□ 数据 manifest 与哈希已保存，隐藏标签未进入算法路径。</w:t>
      </w:r>
    </w:p>
    <w:p>
      <w:pPr>
        <w:keepLines w:val="0"/>
        <w:spacing w:after="100"/>
        <w:jc w:val="left"/>
      </w:pPr>
      <w:r>
        <w:rPr>
          <w:rFonts w:ascii="Microsoft YaHei" w:hAnsi="Microsoft YaHei" w:eastAsia="Microsoft YaHei" w:cs="Microsoft YaHei"/>
          <w:color w:val="0B2545"/>
          <w:sz w:val="20"/>
        </w:rPr>
        <w:t>□ 配置文件只从开发集确定，未查看测试结果后修改。</w:t>
      </w:r>
    </w:p>
    <w:p>
      <w:pPr>
        <w:keepLines w:val="0"/>
        <w:spacing w:after="100"/>
        <w:jc w:val="left"/>
      </w:pPr>
      <w:r>
        <w:rPr>
          <w:rFonts w:ascii="Microsoft YaHei" w:hAnsi="Microsoft YaHei" w:eastAsia="Microsoft YaHei" w:cs="Microsoft YaHei"/>
          <w:color w:val="0B2545"/>
          <w:sz w:val="20"/>
        </w:rPr>
        <w:t>□ 随机种子、环境版本、Excel/LibreOffice版本已记录。</w:t>
      </w:r>
    </w:p>
    <w:p>
      <w:pPr>
        <w:keepLines w:val="0"/>
        <w:spacing w:after="100"/>
        <w:jc w:val="left"/>
      </w:pPr>
      <w:r>
        <w:rPr>
          <w:rFonts w:ascii="Microsoft YaHei" w:hAnsi="Microsoft YaHei" w:eastAsia="Microsoft YaHei" w:cs="Microsoft YaHei"/>
          <w:color w:val="0B2545"/>
          <w:sz w:val="20"/>
        </w:rPr>
        <w:t>□ 全部基线和FormulaGuard使用相同测试列表。</w:t>
      </w:r>
    </w:p>
    <w:p>
      <w:pPr>
        <w:keepLines w:val="0"/>
        <w:spacing w:after="100"/>
        <w:jc w:val="left"/>
      </w:pPr>
      <w:r>
        <w:rPr>
          <w:rFonts w:ascii="Microsoft YaHei" w:hAnsi="Microsoft YaHei" w:eastAsia="Microsoft YaHei" w:cs="Microsoft YaHei"/>
          <w:color w:val="0B2545"/>
          <w:sz w:val="20"/>
        </w:rPr>
        <w:t>□ 崩溃、超时和跳过样本均写入失败日志。</w:t>
      </w:r>
    </w:p>
    <w:p>
      <w:pPr>
        <w:keepLines w:val="0"/>
        <w:spacing w:after="100"/>
        <w:jc w:val="left"/>
      </w:pPr>
      <w:r>
        <w:rPr>
          <w:rFonts w:ascii="Microsoft YaHei" w:hAnsi="Microsoft YaHei" w:eastAsia="Microsoft YaHei" w:cs="Microsoft YaHei"/>
          <w:color w:val="0B2545"/>
          <w:sz w:val="20"/>
        </w:rPr>
        <w:t>□ 原始结果CSV只追加不手工修改；清洗由脚本完成。</w:t>
      </w:r>
    </w:p>
    <w:p>
      <w:pPr>
        <w:keepLines w:val="0"/>
        <w:spacing w:after="100"/>
        <w:jc w:val="left"/>
      </w:pPr>
      <w:r>
        <w:rPr>
          <w:rFonts w:ascii="Microsoft YaHei" w:hAnsi="Microsoft YaHei" w:eastAsia="Microsoft YaHei" w:cs="Microsoft YaHei"/>
          <w:color w:val="0B2545"/>
          <w:sz w:val="20"/>
        </w:rPr>
        <w:t>□ 统计图表可以由一个命令从原始CSV重新生成。</w:t>
      </w:r>
    </w:p>
    <w:p>
      <w:pPr>
        <w:keepLines w:val="0"/>
        <w:spacing w:after="100"/>
        <w:jc w:val="left"/>
      </w:pPr>
      <w:r>
        <w:rPr>
          <w:rFonts w:ascii="Microsoft YaHei" w:hAnsi="Microsoft YaHei" w:eastAsia="Microsoft YaHei" w:cs="Microsoft YaHei"/>
          <w:color w:val="0B2545"/>
          <w:sz w:val="20"/>
        </w:rPr>
        <w:t>□ 抽查至少5个样本的排名、候选和影响路径。</w:t>
      </w:r>
    </w:p>
    <w:p>
      <w:pPr>
        <w:keepLines w:val="0"/>
        <w:spacing w:after="100"/>
        <w:jc w:val="left"/>
      </w:pPr>
      <w:r>
        <w:rPr>
          <w:rFonts w:ascii="Microsoft YaHei" w:hAnsi="Microsoft YaHei" w:eastAsia="Microsoft YaHei" w:cs="Microsoft YaHei"/>
          <w:color w:val="0B2545"/>
          <w:sz w:val="20"/>
        </w:rPr>
        <w:t>□ 备份结果、日志、配置和生成图表。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附录C：每日研究日志模板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500"/>
        <w:gridCol w:w="6860"/>
      </w:tblGrid>
      <w:tr>
        <w:trPr>
          <w:cantSplit/>
          <w:tblHeader w:val="true"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记录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日期 / 用时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今天唯一目标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执行命令与配置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得到的证据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失败与原因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是否改变原假设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AI/外部帮助记录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工具、版本、用途、采用内容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  <w:t>明天第一步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3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</w:rPr>
            </w:r>
          </w:p>
        </w:tc>
      </w:tr>
    </w:tbl>
    <w:p>
      <w:pPr>
        <w:spacing w:after="2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21"/>
              </w:rPr>
              <w:t>最终提醒</w:t>
            </w:r>
          </w:p>
          <w:p>
            <w:pPr>
              <w:spacing w:before="0" w:after="20" w:line="288" w:lineRule="auto"/>
            </w:pPr>
            <w:r>
              <w:rPr>
                <w:rFonts w:ascii="Microsoft YaHei" w:hAnsi="Microsoft YaHei" w:eastAsia="Microsoft YaHei" w:cs="Microsoft YaHei"/>
                <w:color w:val="0B2545"/>
                <w:sz w:val="20"/>
              </w:rPr>
              <w:t>先把最小系统跑通，再扩展；先保证标签正确，再追求样本规模；先做公平对比，再讨论创新；先让自己能讲明白，再追求术语复杂。做到这些，才是这份计划真正接近银奖竞争力的地方。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 w:cs="Microsoft YaHei"/>
        <w:color w:val="5F6B7A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5F6B7A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680"/>
      <w:gridCol w:w="4680"/>
    </w:tblGrid>
    <w:tr>
      <w:trPr>
        <w:cantSplit/>
      </w:trPr>
      <w:tc>
        <w:tcPr>
          <w:tcW w:type="dxa" w:w="468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0" w:after="0" w:line="264" w:lineRule="auto"/>
            <w:jc w:val="left"/>
          </w:pPr>
          <w:r>
            <w:rPr>
              <w:rFonts w:ascii="Microsoft YaHei" w:hAnsi="Microsoft YaHei" w:eastAsia="Microsoft YaHei" w:cs="Microsoft YaHei"/>
              <w:b w:val="0"/>
              <w:color w:val="5F6B7A"/>
              <w:sz w:val="17"/>
            </w:rPr>
            <w:t>FormulaGuard 研究计划书</w:t>
          </w:r>
        </w:p>
      </w:tc>
      <w:tc>
        <w:tcPr>
          <w:tcW w:type="dxa" w:w="468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0" w:after="0" w:line="264" w:lineRule="auto"/>
            <w:jc w:val="right"/>
          </w:pPr>
          <w:r>
            <w:rPr>
              <w:rFonts w:ascii="Microsoft YaHei" w:hAnsi="Microsoft YaHei" w:eastAsia="Microsoft YaHei" w:cs="Microsoft YaHei"/>
              <w:b w:val="0"/>
              <w:color w:val="5F6B7A"/>
              <w:sz w:val="17"/>
            </w:rPr>
            <w:t>2026 丘成桐中学科学奖 · 计算机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9"/>
      </w:pPr>
      <w:rPr>
        <w:rFonts w:ascii="Microsoft YaHei" w:hAnsi="Microsoft YaHei" w:eastAsia="Microsoft YaHei" w:cs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9"/>
      </w:pPr>
      <w:rPr>
        <w:rFonts w:ascii="Microsoft YaHei" w:hAnsi="Microsoft YaHei" w:eastAsia="Microsoft YaHei" w:cs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9"/>
      </w:pPr>
      <w:rPr>
        <w:rFonts w:ascii="Microsoft YaHei" w:hAnsi="Microsoft YaHei" w:eastAsia="Microsoft YaHei" w:cs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9"/>
      </w:pPr>
      <w:rPr>
        <w:rFonts w:ascii="Microsoft YaHei" w:hAnsi="Microsoft YaHei" w:eastAsia="Microsoft YaHei" w:cs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9"/>
      </w:pPr>
      <w:rPr>
        <w:rFonts w:ascii="Microsoft YaHei" w:hAnsi="Microsoft YaHei" w:eastAsia="Microsoft YaHei" w:cs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9"/>
      </w:pPr>
      <w:rPr>
        <w:rFonts w:ascii="Microsoft YaHei" w:hAnsi="Microsoft YaHei" w:eastAsia="Microsoft YaHei" w:cs="Microsoft YaHei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9"/>
      </w:pPr>
      <w:rPr>
        <w:rFonts w:ascii="Microsoft YaHei" w:hAnsi="Microsoft YaHei" w:eastAsia="Microsoft YaHei" w:cs="Microsoft YaHei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9"/>
      </w:pPr>
      <w:rPr>
        <w:rFonts w:ascii="Microsoft YaHei" w:hAnsi="Microsoft YaHei" w:eastAsia="Microsoft YaHei" w:cs="Microsoft YaHei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9"/>
      </w:pPr>
      <w:rPr>
        <w:rFonts w:ascii="Microsoft YaHei" w:hAnsi="Microsoft YaHei" w:eastAsia="Microsoft YaHei" w:cs="Microsoft YaHei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9"/>
      </w:pPr>
      <w:rPr>
        <w:rFonts w:ascii="Microsoft YaHei" w:hAnsi="Microsoft YaHei" w:eastAsia="Microsoft YaHei" w:cs="Microsoft YaHei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9"/>
      </w:pPr>
      <w:rPr>
        <w:rFonts w:ascii="Microsoft YaHei" w:hAnsi="Microsoft YaHei" w:eastAsia="Microsoft YaHei" w:cs="Microsoft YaHei"/>
      </w:r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9"/>
      </w:pPr>
      <w:rPr>
        <w:rFonts w:ascii="Microsoft YaHei" w:hAnsi="Microsoft YaHei" w:eastAsia="Microsoft YaHei" w:cs="Microsoft YaHei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9"/>
      </w:pPr>
      <w:rPr>
        <w:rFonts w:ascii="Microsoft YaHei" w:hAnsi="Microsoft YaHei" w:eastAsia="Microsoft YaHei" w:cs="Microsoft YaHei"/>
      </w:rPr>
    </w:lvl>
  </w:abstract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20" w:lineRule="auto"/>
      <w:jc w:val="both"/>
    </w:pPr>
    <w:rPr>
      <w:rFonts w:ascii="Microsoft YaHei" w:hAnsi="Microsoft YaHe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Microsoft YaHei" w:hAnsi="Microsoft YaHei" w:eastAsia="Microsoft YaHei"/>
      <w:b/>
      <w:bCs/>
      <w:color w:val="5F6B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FormulaGuard 银奖目标研究计划书</dc:title>
  <dc:subject>无输出真值条件下基于图干预的电子表格静默公式根因定位</dc:subject>
  <dc:creator>参赛学生（待填写）</dc:creator>
  <cp:keywords>FormulaGuard, spreadsheet, formula error, fault localization, graph intervention</cp:keywords>
  <dc:description>narrative_proposal preset; CJK font override: Microsoft YaHei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