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snapToGrid w:val="0"/>
        <w:spacing w:line="240" w:lineRule="auto"/>
      </w:pPr>
      <w:r>
        <w:t>Factor Analysis Collection Guide</w:t>
      </w:r>
    </w:p>
    <w:p>
      <w:pPr>
        <w:snapToGrid w:val="0"/>
        <w:spacing w:line="240" w:lineRule="auto"/>
      </w:pPr>
      <w:r>
        <w:t>This collection provides seven-factor statistical screening and a five-factor fundamental candidate, with results and one script. Both report Rank IC, Rank ICIR and annual sign agreement. Five-factor membership is an explicit design input, not an output of these metrics or a claim of statistical optimality.</w:t>
      </w:r>
    </w:p>
    <w:p>
      <w:pPr>
        <w:pStyle w:val="Heading1"/>
        <w:snapToGrid w:val="0"/>
        <w:spacing w:line="240" w:lineRule="auto"/>
      </w:pPr>
      <w:r>
        <w:t>1 Shared data and metrics</w:t>
      </w:r>
    </w:p>
    <w:p>
      <w:pPr>
        <w:snapToGrid w:val="0"/>
        <w:spacing w:line="240" w:lineRule="auto"/>
      </w:pPr>
      <w:r>
        <w:t>Use the 66-stock raw panel: 521 weeks and 27,585 rows from 2 Sep 2016 to 21 Aug 2026. Exclude the final week without verifiable next-week prices. The label is target = ln(next week-end adjusted close / current week-end adjusted close), not target2.</w:t>
      </w:r>
    </w:p>
    <w:p>
      <w:pPr>
        <w:snapToGrid w:val="0"/>
        <w:spacing w:line="240" w:lineRule="auto"/>
      </w:pPr>
      <w:r>
        <w:t>Calculate weekly cross-sectional Spearman correlation with average ranks for ties. Mean Rank IC averages weeks equally. Rank ICIR divides this mean by its sample standard deviation (ddof=1), without annualisation. Annual agreement counts eligible annual means sharing the full-sample sign; a year needs 40 valid weeks.</w:t>
      </w:r>
    </w:p>
    <w:p>
      <w:pPr>
        <w:snapToGrid w:val="0"/>
        <w:spacing w:line="240" w:lineRule="auto"/>
      </w:pPr>
      <w:r>
        <w:t>Seven-factor screening requires ≥80% coverage, ≥104 valid weeks and ≥3 eligible years. Each week needs ≥20 stocks, ≥5 distinct factor values and ≥2 distinct targets. Correlations are weekly Spearman values averaged over weeks; process candidates by descending absolute Mean Rank IC. No annualised returns are calculated.</w:t>
      </w:r>
    </w:p>
    <w:p>
      <w:pPr>
        <w:pStyle w:val="Heading1"/>
        <w:snapToGrid w:val="0"/>
        <w:spacing w:line="240" w:lineRule="auto"/>
      </w:pPr>
      <w:r>
        <w:t>2 Screening and candidate design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pPr>
              <w:spacing w:after="60" w:line="240" w:lineRule="auto"/>
              <w:snapToGrid w:val="0"/>
            </w:pPr>
            <w:r>
              <w:rPr>
                <w:sz w:val="18"/>
              </w:rPr>
              <w:t>Item</w:t>
            </w:r>
          </w:p>
        </w:tc>
        <w:tc>
          <w:tcPr>
            <w:tcW w:type="dxa" w:w="3408"/>
          </w:tcPr>
          <w:p>
            <w:pPr>
              <w:spacing w:after="60" w:line="240" w:lineRule="auto"/>
              <w:snapToGrid w:val="0"/>
            </w:pPr>
            <w:r>
              <w:rPr>
                <w:sz w:val="18"/>
              </w:rPr>
              <w:t>7-factor screening</w:t>
            </w:r>
          </w:p>
        </w:tc>
        <w:tc>
          <w:tcPr>
            <w:tcW w:type="dxa" w:w="3408"/>
          </w:tcPr>
          <w:p>
            <w:pPr>
              <w:spacing w:after="60" w:line="240" w:lineRule="auto"/>
              <w:snapToGrid w:val="0"/>
            </w:pPr>
            <w:r>
              <w:rPr>
                <w:sz w:val="18"/>
              </w:rPr>
              <w:t>5-factor candidate design</w:t>
            </w:r>
          </w:p>
        </w:tc>
      </w:tr>
      <w:tr>
        <w:tc>
          <w:tcPr>
            <w:tcW w:type="dxa" w:w="3408"/>
          </w:tcPr>
          <w:p>
            <w:pPr>
              <w:spacing w:after="60" w:line="240" w:lineRule="auto"/>
              <w:snapToGrid w:val="0"/>
            </w:pPr>
            <w:r>
              <w:rPr>
                <w:sz w:val="18"/>
              </w:rPr>
              <w:t>Scope</w:t>
            </w:r>
          </w:p>
        </w:tc>
        <w:tc>
          <w:tcPr>
            <w:tcW w:type="dxa" w:w="3408"/>
          </w:tcPr>
          <w:p>
            <w:pPr>
              <w:spacing w:after="60" w:line="240" w:lineRule="auto"/>
              <w:snapToGrid w:val="0"/>
            </w:pPr>
            <w:r>
              <w:rPr>
                <w:sz w:val="18"/>
              </w:rPr>
              <w:t>Stock-level factors after removing 4 duplicates; macros separate</w:t>
            </w:r>
          </w:p>
        </w:tc>
        <w:tc>
          <w:tcPr>
            <w:tcW w:type="dxa" w:w="3408"/>
          </w:tcPr>
          <w:p>
            <w:pPr>
              <w:spacing w:after="60" w:line="240" w:lineRule="auto"/>
              <w:snapToGrid w:val="0"/>
            </w:pPr>
            <w:r>
              <w:rPr>
                <w:sz w:val="18"/>
              </w:rPr>
              <w:t>Five specified financial dimensions</w:t>
            </w:r>
          </w:p>
        </w:tc>
      </w:tr>
      <w:tr>
        <w:tc>
          <w:tcPr>
            <w:tcW w:type="dxa" w:w="3408"/>
          </w:tcPr>
          <w:p>
            <w:pPr>
              <w:spacing w:after="60" w:line="240" w:lineRule="auto"/>
              <w:snapToGrid w:val="0"/>
            </w:pPr>
            <w:r>
              <w:rPr>
                <w:sz w:val="18"/>
              </w:rPr>
              <w:t>Mean Rank IC</w:t>
            </w:r>
          </w:p>
        </w:tc>
        <w:tc>
          <w:tcPr>
            <w:tcW w:type="dxa" w:w="3408"/>
          </w:tcPr>
          <w:p>
            <w:pPr>
              <w:spacing w:after="60" w:line="240" w:lineRule="auto"/>
              <w:snapToGrid w:val="0"/>
            </w:pPr>
            <w:r>
              <w:rPr>
                <w:sz w:val="18"/>
              </w:rPr>
              <w:t>Absolute value ≥0.01</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Rank ICIR</w:t>
            </w:r>
          </w:p>
        </w:tc>
        <w:tc>
          <w:tcPr>
            <w:tcW w:type="dxa" w:w="3408"/>
          </w:tcPr>
          <w:p>
            <w:pPr>
              <w:spacing w:after="60" w:line="240" w:lineRule="auto"/>
              <w:snapToGrid w:val="0"/>
            </w:pPr>
            <w:r>
              <w:rPr>
                <w:sz w:val="18"/>
              </w:rPr>
              <w:t>Absolute value ≥0.08</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Annual agreement</w:t>
            </w:r>
          </w:p>
        </w:tc>
        <w:tc>
          <w:tcPr>
            <w:tcW w:type="dxa" w:w="3408"/>
          </w:tcPr>
          <w:p>
            <w:pPr>
              <w:spacing w:after="60" w:line="240" w:lineRule="auto"/>
              <w:snapToGrid w:val="0"/>
            </w:pPr>
            <w:r>
              <w:rPr>
                <w:sz w:val="18"/>
              </w:rPr>
              <w:t>≥60%</w:t>
            </w:r>
          </w:p>
        </w:tc>
        <w:tc>
          <w:tcPr>
            <w:tcW w:type="dxa" w:w="3408"/>
          </w:tcPr>
          <w:p>
            <w:pPr>
              <w:spacing w:after="60" w:line="240" w:lineRule="auto"/>
              <w:snapToGrid w:val="0"/>
            </w:pPr>
            <w:r>
              <w:rPr>
                <w:sz w:val="18"/>
              </w:rPr>
              <w:t>Descriptive metric; no gate</w:t>
            </w:r>
          </w:p>
        </w:tc>
      </w:tr>
      <w:tr>
        <w:tc>
          <w:tcPr>
            <w:tcW w:type="dxa" w:w="3408"/>
          </w:tcPr>
          <w:p>
            <w:pPr>
              <w:spacing w:after="60" w:line="240" w:lineRule="auto"/>
              <w:snapToGrid w:val="0"/>
            </w:pPr>
            <w:r>
              <w:rPr>
                <w:sz w:val="18"/>
              </w:rPr>
              <w:t>Correlation</w:t>
            </w:r>
          </w:p>
        </w:tc>
        <w:tc>
          <w:tcPr>
            <w:tcW w:type="dxa" w:w="3408"/>
          </w:tcPr>
          <w:p>
            <w:pPr>
              <w:spacing w:after="60" w:line="240" w:lineRule="auto"/>
              <w:snapToGrid w:val="0"/>
            </w:pPr>
            <w:r>
              <w:rPr>
                <w:sz w:val="18"/>
              </w:rPr>
              <w:t>Drop lower-ranked candidate at |mean weekly correlation| ≥0.85</w:t>
            </w:r>
          </w:p>
        </w:tc>
        <w:tc>
          <w:tcPr>
            <w:tcW w:type="dxa" w:w="3408"/>
          </w:tcPr>
          <w:p>
            <w:pPr>
              <w:spacing w:after="60" w:line="240" w:lineRule="auto"/>
              <w:snapToGrid w:val="0"/>
            </w:pPr>
            <w:r>
              <w:rPr>
                <w:sz w:val="18"/>
              </w:rPr>
              <w:t>No pruning; membership is specified</w:t>
            </w:r>
          </w:p>
        </w:tc>
      </w:tr>
    </w:tbl>
    <w:p>
      <w:pPr>
        <w:snapToGrid w:val="0"/>
        <w:spacing w:line="240" w:lineRule="auto"/>
      </w:pPr>
      <w:r>
        <w:t>The five dimensions are business growth (revenue growth), asset expansion (asset growth), operating profitability, operating cash generation (cash flow/assets) and financial leverage (debt/assets). To keep the candidate compact, operating profitability represents the profitability dimension and gross margin change is omitted. This design choice does not establish high correlation or lack of predictive value. All six fundamentals are shown for comparison.</w:t>
      </w:r>
    </w:p>
    <w:p>
      <w:pPr>
        <w:pStyle w:val="Heading1"/>
        <w:snapToGrid w:val="0"/>
        <w:spacing w:line="240" w:lineRule="auto"/>
      </w:pPr>
      <w:r>
        <w:t>3 Eleven and forty five factors</w:t>
      </w:r>
    </w:p>
    <w:p>
      <w:pPr>
        <w:snapToGrid w:val="0"/>
        <w:spacing w:line="240" w:lineRule="auto"/>
      </w:pPr>
      <w:r>
        <w:t>11 factors = the seven plus four macro variables, allowing models to use market conditions. Macro values are constant across stocks each week, so they are not screened by cross-sectional Rank IC.</w:t>
      </w:r>
    </w:p>
    <w:p>
      <w:pPr>
        <w:snapToGrid w:val="0"/>
        <w:spacing w:line="240" w:lineRule="auto"/>
      </w:pPr>
      <w:r>
        <w:t>45 factors = all original inputs (35 technical, six fundamental, four macro), including four duplicate columns, as the full-input comparison. Date, ticker and labels are excluded. No set is guaranteed optimal for every model.</w:t>
      </w:r>
    </w:p>
    <w:p>
      <w:pPr>
        <w:pStyle w:val="Heading1"/>
        <w:snapToGrid w:val="0"/>
        <w:spacing w:line="240" w:lineRule="auto"/>
      </w:pPr>
      <w:r>
        <w:t>4 Reproduction and use</w:t>
      </w:r>
    </w:p>
    <w:p>
      <w:pPr>
        <w:snapToGrid w:val="0"/>
        <w:spacing w:line="240" w:lineRule="auto"/>
      </w:pPr>
      <w:r>
        <w:t>Install pandas and numpy. From the project root run: python research/01_factor_analysis/factor_analysis.py (it reads data/test_45_factors_weekly.csv by default; use --input to choose another file). No earlier results or separate definition file are required. CSV/JSON files and the four factor lists are written to research/01_factor_analysis/outputs (change with --output). No formatted Excel workbook is produced and no model search is run.</w:t>
      </w:r>
    </w:p>
    <w:p>
      <w:pPr>
        <w:snapToGrid w:val="0"/>
        <w:spacing w:line="240" w:lineRule="auto"/>
      </w:pPr>
      <w:r>
        <w:t>These are full-sample exploratory results. Compare models on matched splits and tuning conditions; data used in feature selection cannot provide an independent test.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Microsoft YaHe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