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spacing w:line="240" w:lineRule="auto"/>
      </w:pPr>
      <w:r>
        <w:t>因子组合分析集合说明</w:t>
      </w:r>
    </w:p>
    <w:p>
      <w:pPr>
        <w:snapToGrid w:val="0"/>
        <w:spacing w:line="240" w:lineRule="auto"/>
      </w:pPr>
      <w:r>
        <w:t>本集合提供7因子统计筛选和5因子基本面候选组合，配套结果与统一代码。两者都报告Rank IC、Rank ICIR和年度方向一致性，但5因子名单作为明确的设计输入，不由这些指标筛出，也不主张其统计最优。</w:t>
      </w:r>
    </w:p>
    <w:p>
      <w:pPr>
        <w:pStyle w:val="Heading1"/>
        <w:snapToGrid w:val="0"/>
        <w:spacing w:line="240" w:lineRule="auto"/>
      </w:pPr>
      <w:r>
        <w:t>1 数据与共同指标</w:t>
      </w:r>
    </w:p>
    <w:p>
      <w:pPr>
        <w:snapToGrid w:val="0"/>
        <w:spacing w:line="240" w:lineRule="auto"/>
      </w:pPr>
      <w:r>
        <w:t>使用66股原始数据，2016-09-02至2026-08-21共521周、27,585条记录。剔除无法核验下一周价格的最后一周。标签为target：ln(下一周末复权收盘价/本周末复权收盘价)，不使用target2。</w:t>
      </w:r>
    </w:p>
    <w:p>
      <w:pPr>
        <w:snapToGrid w:val="0"/>
        <w:spacing w:line="240" w:lineRule="auto"/>
      </w:pPr>
      <w:r>
        <w:t>每周计算因子与target的横截面Spearman相关（并列值取平均排名）。平均Rank IC为周度相关等权平均；Rank ICIR为平均值/样本标准差（ddof=1），不年化。年度方向一致性为年度平均IC与全样本同号的年份占比，每年至少40个有效周。</w:t>
      </w:r>
    </w:p>
    <w:p>
      <w:pPr>
        <w:snapToGrid w:val="0"/>
        <w:spacing w:line="240" w:lineRule="auto"/>
      </w:pPr>
      <w:r>
        <w:t>7因子要求覆盖率≥80%、有效周≥104、评价年份≥3；每周≥20股、≥5个不同因子值、≥2个不同target值。按|平均Rank IC|降序进行相关性去重。5因子仅报告统计指标；均未计算年化收益。</w:t>
      </w:r>
    </w:p>
    <w:p>
      <w:pPr>
        <w:pStyle w:val="Heading1"/>
        <w:snapToGrid w:val="0"/>
        <w:spacing w:line="240" w:lineRule="auto"/>
      </w:pPr>
      <w:r>
        <w:t>2 筛选与组合设计</w:t>
      </w:r>
    </w:p>
    <w:tbl>
      <w:tblPr>
        <w:tblStyle w:val="LightShading-Accent1"/>
        <w:tblW w:type="auto" w:w="0"/>
        <w:tblLook w:firstColumn="1" w:firstRow="1" w:lastColumn="0" w:lastRow="0" w:noHBand="0" w:noVBand="1" w:val="04A0"/>
      </w:tblPr>
      <w:tblGrid>
        <w:gridCol w:w="3408"/>
        <w:gridCol w:w="3408"/>
        <w:gridCol w:w="3408"/>
      </w:tblGrid>
      <w:tr>
        <w:tc>
          <w:tcPr>
            <w:tcW w:type="dxa" w:w="3408"/>
          </w:tcPr>
          <w:p>
            <w:pPr>
              <w:spacing w:after="60" w:line="240" w:lineRule="auto"/>
              <w:snapToGrid w:val="0"/>
            </w:pPr>
            <w:r>
              <w:rPr>
                <w:sz w:val="18"/>
              </w:rPr>
              <w:t>项目</w:t>
            </w:r>
          </w:p>
        </w:tc>
        <w:tc>
          <w:tcPr>
            <w:tcW w:type="dxa" w:w="3408"/>
          </w:tcPr>
          <w:p>
            <w:pPr>
              <w:spacing w:after="60" w:line="240" w:lineRule="auto"/>
              <w:snapToGrid w:val="0"/>
            </w:pPr>
            <w:r>
              <w:rPr>
                <w:sz w:val="18"/>
              </w:rPr>
              <w:t>7因子筛选</w:t>
            </w:r>
          </w:p>
        </w:tc>
        <w:tc>
          <w:tcPr>
            <w:tcW w:type="dxa" w:w="3408"/>
          </w:tcPr>
          <w:p>
            <w:pPr>
              <w:spacing w:after="60" w:line="240" w:lineRule="auto"/>
              <w:snapToGrid w:val="0"/>
            </w:pPr>
            <w:r>
              <w:rPr>
                <w:sz w:val="18"/>
              </w:rPr>
              <w:t>5因子候选设计</w:t>
            </w:r>
          </w:p>
        </w:tc>
      </w:tr>
      <w:tr>
        <w:tc>
          <w:tcPr>
            <w:tcW w:type="dxa" w:w="3408"/>
          </w:tcPr>
          <w:p>
            <w:pPr>
              <w:spacing w:after="60" w:line="240" w:lineRule="auto"/>
              <w:snapToGrid w:val="0"/>
            </w:pPr>
            <w:r>
              <w:rPr>
                <w:sz w:val="18"/>
              </w:rPr>
              <w:t>范围</w:t>
            </w:r>
          </w:p>
        </w:tc>
        <w:tc>
          <w:tcPr>
            <w:tcW w:type="dxa" w:w="3408"/>
          </w:tcPr>
          <w:p>
            <w:pPr>
              <w:spacing w:after="60" w:line="240" w:lineRule="auto"/>
              <w:snapToGrid w:val="0"/>
            </w:pPr>
            <w:r>
              <w:rPr>
                <w:sz w:val="18"/>
              </w:rPr>
              <w:t>剔除4个重复列后的股票层面因子；宏观另列</w:t>
            </w:r>
          </w:p>
        </w:tc>
        <w:tc>
          <w:tcPr>
            <w:tcW w:type="dxa" w:w="3408"/>
          </w:tcPr>
          <w:p>
            <w:pPr>
              <w:spacing w:after="60" w:line="240" w:lineRule="auto"/>
              <w:snapToGrid w:val="0"/>
            </w:pPr>
            <w:r>
              <w:rPr>
                <w:sz w:val="18"/>
              </w:rPr>
              <w:t>按5个财务维度指定名单</w:t>
            </w:r>
          </w:p>
        </w:tc>
      </w:tr>
      <w:tr>
        <w:tc>
          <w:tcPr>
            <w:tcW w:type="dxa" w:w="3408"/>
          </w:tcPr>
          <w:p>
            <w:pPr>
              <w:spacing w:after="60" w:line="240" w:lineRule="auto"/>
              <w:snapToGrid w:val="0"/>
            </w:pPr>
            <w:r>
              <w:rPr>
                <w:sz w:val="18"/>
              </w:rPr>
              <w:t>平均Rank IC</w:t>
            </w:r>
          </w:p>
        </w:tc>
        <w:tc>
          <w:tcPr>
            <w:tcW w:type="dxa" w:w="3408"/>
          </w:tcPr>
          <w:p>
            <w:pPr>
              <w:spacing w:after="60" w:line="240" w:lineRule="auto"/>
              <w:snapToGrid w:val="0"/>
            </w:pPr>
            <w:r>
              <w:rPr>
                <w:sz w:val="18"/>
              </w:rPr>
              <w:t>绝对值≥0.01</w:t>
            </w:r>
          </w:p>
        </w:tc>
        <w:tc>
          <w:tcPr>
            <w:tcW w:type="dxa" w:w="3408"/>
          </w:tcPr>
          <w:p>
            <w:pPr>
              <w:spacing w:after="60" w:line="240" w:lineRule="auto"/>
              <w:snapToGrid w:val="0"/>
            </w:pPr>
            <w:r>
              <w:rPr>
                <w:sz w:val="18"/>
              </w:rPr>
              <w:t>仅描述，不设筛选门槛</w:t>
            </w:r>
          </w:p>
        </w:tc>
      </w:tr>
      <w:tr>
        <w:tc>
          <w:tcPr>
            <w:tcW w:type="dxa" w:w="3408"/>
          </w:tcPr>
          <w:p>
            <w:pPr>
              <w:spacing w:after="60" w:line="240" w:lineRule="auto"/>
              <w:snapToGrid w:val="0"/>
            </w:pPr>
            <w:r>
              <w:rPr>
                <w:sz w:val="18"/>
              </w:rPr>
              <w:t>Rank ICIR</w:t>
            </w:r>
          </w:p>
        </w:tc>
        <w:tc>
          <w:tcPr>
            <w:tcW w:type="dxa" w:w="3408"/>
          </w:tcPr>
          <w:p>
            <w:pPr>
              <w:spacing w:after="60" w:line="240" w:lineRule="auto"/>
              <w:snapToGrid w:val="0"/>
            </w:pPr>
            <w:r>
              <w:rPr>
                <w:sz w:val="18"/>
              </w:rPr>
              <w:t>绝对值≥0.08</w:t>
            </w:r>
          </w:p>
        </w:tc>
        <w:tc>
          <w:tcPr>
            <w:tcW w:type="dxa" w:w="3408"/>
          </w:tcPr>
          <w:p>
            <w:pPr>
              <w:spacing w:after="60" w:line="240" w:lineRule="auto"/>
              <w:snapToGrid w:val="0"/>
            </w:pPr>
            <w:r>
              <w:rPr>
                <w:sz w:val="18"/>
              </w:rPr>
              <w:t>仅描述，不设筛选门槛</w:t>
            </w:r>
          </w:p>
        </w:tc>
      </w:tr>
      <w:tr>
        <w:tc>
          <w:tcPr>
            <w:tcW w:type="dxa" w:w="3408"/>
          </w:tcPr>
          <w:p>
            <w:pPr>
              <w:spacing w:after="60" w:line="240" w:lineRule="auto"/>
              <w:snapToGrid w:val="0"/>
            </w:pPr>
            <w:r>
              <w:rPr>
                <w:sz w:val="18"/>
              </w:rPr>
              <w:t>年度方向一致性</w:t>
            </w:r>
          </w:p>
        </w:tc>
        <w:tc>
          <w:tcPr>
            <w:tcW w:type="dxa" w:w="3408"/>
          </w:tcPr>
          <w:p>
            <w:pPr>
              <w:spacing w:after="60" w:line="240" w:lineRule="auto"/>
              <w:snapToGrid w:val="0"/>
            </w:pPr>
            <w:r>
              <w:rPr>
                <w:sz w:val="18"/>
              </w:rPr>
              <w:t>≥60%</w:t>
            </w:r>
          </w:p>
        </w:tc>
        <w:tc>
          <w:tcPr>
            <w:tcW w:type="dxa" w:w="3408"/>
          </w:tcPr>
          <w:p>
            <w:pPr>
              <w:spacing w:after="60" w:line="240" w:lineRule="auto"/>
              <w:snapToGrid w:val="0"/>
            </w:pPr>
            <w:r>
              <w:rPr>
                <w:sz w:val="18"/>
              </w:rPr>
              <w:t>仅描述，不设筛选门槛</w:t>
            </w:r>
          </w:p>
        </w:tc>
      </w:tr>
      <w:tr>
        <w:tc>
          <w:tcPr>
            <w:tcW w:type="dxa" w:w="3408"/>
          </w:tcPr>
          <w:p>
            <w:pPr>
              <w:spacing w:after="60" w:line="240" w:lineRule="auto"/>
              <w:snapToGrid w:val="0"/>
            </w:pPr>
            <w:r>
              <w:rPr>
                <w:sz w:val="18"/>
              </w:rPr>
              <w:t>相关性去重</w:t>
            </w:r>
          </w:p>
        </w:tc>
        <w:tc>
          <w:tcPr>
            <w:tcW w:type="dxa" w:w="3408"/>
          </w:tcPr>
          <w:p>
            <w:pPr>
              <w:spacing w:after="60" w:line="240" w:lineRule="auto"/>
              <w:snapToGrid w:val="0"/>
            </w:pPr>
            <w:r>
              <w:rPr>
                <w:sz w:val="18"/>
              </w:rPr>
              <w:t>平均周度相关绝对值≥0.85时保留排序靠前者</w:t>
            </w:r>
          </w:p>
        </w:tc>
        <w:tc>
          <w:tcPr>
            <w:tcW w:type="dxa" w:w="3408"/>
          </w:tcPr>
          <w:p>
            <w:pPr>
              <w:spacing w:after="60" w:line="240" w:lineRule="auto"/>
              <w:snapToGrid w:val="0"/>
            </w:pPr>
            <w:r>
              <w:rPr>
                <w:sz w:val="18"/>
              </w:rPr>
              <w:t>不去重；名单为明确输入</w:t>
            </w:r>
          </w:p>
        </w:tc>
      </w:tr>
    </w:tbl>
    <w:p>
      <w:pPr>
        <w:snapToGrid w:val="0"/>
        <w:spacing w:line="240" w:lineRule="auto"/>
      </w:pPr>
      <w:r>
        <w:t>5因子设计覆盖：营收增长—业务增长；资产增长—规模扩张；营业盈利能力—资产获利能力；现金流/资产—经营现金创造；负债/资产—财务杠杆。为控制数量，盈利维度采用营业盈利能力，暂不纳入毛利率同比变化。此为候选设计取舍，不代表两者高度相关或后者无效。6个基本面指标均列入结果表，便于对照。</w:t>
      </w:r>
    </w:p>
    <w:p>
      <w:pPr>
        <w:pStyle w:val="Heading1"/>
        <w:snapToGrid w:val="0"/>
        <w:spacing w:line="240" w:lineRule="auto"/>
      </w:pPr>
      <w:r>
        <w:t>3 11因子与45因子</w:t>
      </w:r>
    </w:p>
    <w:p>
      <w:pPr>
        <w:snapToGrid w:val="0"/>
        <w:spacing w:line="240" w:lineRule="auto"/>
      </w:pPr>
      <w:r>
        <w:t>11因子＝上述7因子＋4个宏观因子，供模型利用市场环境信息。宏观因子同周跨股票不变，因此不参加横截面Rank IC筛选。</w:t>
      </w:r>
    </w:p>
    <w:p>
      <w:pPr>
        <w:snapToGrid w:val="0"/>
        <w:spacing w:line="240" w:lineRule="auto"/>
      </w:pPr>
      <w:r>
        <w:t>45因子＝原始全部因子（35技术＋6基本面＋4宏观），保留原始4个重复列，作为完整输入对照；不包括日期、股票代码及target/target2。各组合不保证对所有模型最优。</w:t>
      </w:r>
    </w:p>
    <w:p>
      <w:pPr>
        <w:pStyle w:val="Heading1"/>
        <w:snapToGrid w:val="0"/>
        <w:spacing w:line="240" w:lineRule="auto"/>
      </w:pPr>
      <w:r>
        <w:t>4 复现与使用</w:t>
      </w:r>
    </w:p>
    <w:p>
      <w:pPr>
        <w:snapToGrid w:val="0"/>
        <w:spacing w:line="240" w:lineRule="auto"/>
      </w:pPr>
      <w:r>
        <w:t>安装pandas、numpy，运行 python Factor_Analysis.py --input 数据CSV路径。无需旧结果或定义文件，CSV/JSON及4组名单输出至generated_results（可用--output更改）。不生成格式化Excel，不执行模型搜索。</w:t>
      </w:r>
    </w:p>
    <w:p>
      <w:pPr>
        <w:snapToGrid w:val="0"/>
        <w:spacing w:line="240" w:lineRule="auto"/>
      </w:pPr>
      <w:r>
        <w:t>本结果使用全样本，属于探索性分析。组间优劣需在相同数据切分与调参条件下比较；已参与筛选的数据不能再作为独立测试。</w:t>
      </w:r>
    </w:p>
    <w:p>
      <w:pPr>
        <w:pStyle w:val="Title"/>
        <w:pageBreakBefore/>
        <w:snapToGrid w:val="0"/>
        <w:spacing w:line="240" w:lineRule="auto"/>
      </w:pPr>
      <w:r>
        <w:t>Factor Analysis Collection Guide</w:t>
      </w:r>
    </w:p>
    <w:p>
      <w:pPr>
        <w:snapToGrid w:val="0"/>
        <w:spacing w:line="240" w:lineRule="auto"/>
      </w:pPr>
      <w:r>
        <w:t>This collection provides seven-factor statistical screening and a five-factor fundamental candidate, with results and one script. Both report Rank IC, Rank ICIR and annual sign agreement. Five-factor membership is an explicit design input, not an output of these metrics or a claim of statistical optimality.</w:t>
      </w:r>
    </w:p>
    <w:p>
      <w:pPr>
        <w:pStyle w:val="Heading1"/>
        <w:snapToGrid w:val="0"/>
        <w:spacing w:line="240" w:lineRule="auto"/>
      </w:pPr>
      <w:r>
        <w:t>1 Shared data and metrics</w:t>
      </w:r>
    </w:p>
    <w:p>
      <w:pPr>
        <w:snapToGrid w:val="0"/>
        <w:spacing w:line="240" w:lineRule="auto"/>
      </w:pPr>
      <w:r>
        <w:t>Use the 66-stock raw panel: 521 weeks and 27,585 rows from 2 Sep 2016 to 21 Aug 2026. Exclude the final week without verifiable next-week prices. The label is target = ln(next week-end adjusted close / current week-end adjusted close), not target2.</w:t>
      </w:r>
    </w:p>
    <w:p>
      <w:pPr>
        <w:snapToGrid w:val="0"/>
        <w:spacing w:line="240" w:lineRule="auto"/>
      </w:pPr>
      <w:r>
        <w:t>Calculate weekly cross-sectional Spearman correlation with average ranks for ties. Mean Rank IC averages weeks equally. Rank ICIR divides this mean by its sample standard deviation (ddof=1), without annualisation. Annual agreement counts eligible annual means sharing the full-sample sign; a year needs 40 valid weeks.</w:t>
      </w:r>
    </w:p>
    <w:p>
      <w:pPr>
        <w:snapToGrid w:val="0"/>
        <w:spacing w:line="240" w:lineRule="auto"/>
      </w:pPr>
      <w:r>
        <w:t>Seven-factor screening requires ≥80% coverage, ≥104 valid weeks and ≥3 eligible years. Each week needs ≥20 stocks, ≥5 distinct factor values and ≥2 distinct targets. Correlations are weekly Spearman values averaged over weeks; process candidates by descending absolute Mean Rank IC. No annualised returns are calculated.</w:t>
      </w:r>
    </w:p>
    <w:p>
      <w:pPr>
        <w:pStyle w:val="Heading1"/>
        <w:snapToGrid w:val="0"/>
        <w:spacing w:line="240" w:lineRule="auto"/>
      </w:pPr>
      <w:r>
        <w:t>2 Screening and candidate design</w:t>
      </w:r>
    </w:p>
    <w:tbl>
      <w:tblPr>
        <w:tblStyle w:val="LightShading-Accent1"/>
        <w:tblW w:type="auto" w:w="0"/>
        <w:tblLook w:firstColumn="1" w:firstRow="1" w:lastColumn="0" w:lastRow="0" w:noHBand="0" w:noVBand="1" w:val="04A0"/>
      </w:tblPr>
      <w:tblGrid>
        <w:gridCol w:w="3408"/>
        <w:gridCol w:w="3408"/>
        <w:gridCol w:w="3408"/>
      </w:tblGrid>
      <w:tr>
        <w:tc>
          <w:tcPr>
            <w:tcW w:type="dxa" w:w="3408"/>
          </w:tcPr>
          <w:p>
            <w:pPr>
              <w:spacing w:after="60" w:line="240" w:lineRule="auto"/>
              <w:snapToGrid w:val="0"/>
            </w:pPr>
            <w:r>
              <w:rPr>
                <w:sz w:val="18"/>
              </w:rPr>
              <w:t>Item</w:t>
            </w:r>
          </w:p>
        </w:tc>
        <w:tc>
          <w:tcPr>
            <w:tcW w:type="dxa" w:w="3408"/>
          </w:tcPr>
          <w:p>
            <w:pPr>
              <w:spacing w:after="60" w:line="240" w:lineRule="auto"/>
              <w:snapToGrid w:val="0"/>
            </w:pPr>
            <w:r>
              <w:rPr>
                <w:sz w:val="18"/>
              </w:rPr>
              <w:t>7-factor screening</w:t>
            </w:r>
          </w:p>
        </w:tc>
        <w:tc>
          <w:tcPr>
            <w:tcW w:type="dxa" w:w="3408"/>
          </w:tcPr>
          <w:p>
            <w:pPr>
              <w:spacing w:after="60" w:line="240" w:lineRule="auto"/>
              <w:snapToGrid w:val="0"/>
            </w:pPr>
            <w:r>
              <w:rPr>
                <w:sz w:val="18"/>
              </w:rPr>
              <w:t>5-factor candidate design</w:t>
            </w:r>
          </w:p>
        </w:tc>
      </w:tr>
      <w:tr>
        <w:tc>
          <w:tcPr>
            <w:tcW w:type="dxa" w:w="3408"/>
          </w:tcPr>
          <w:p>
            <w:pPr>
              <w:spacing w:after="60" w:line="240" w:lineRule="auto"/>
              <w:snapToGrid w:val="0"/>
            </w:pPr>
            <w:r>
              <w:rPr>
                <w:sz w:val="18"/>
              </w:rPr>
              <w:t>Scope</w:t>
            </w:r>
          </w:p>
        </w:tc>
        <w:tc>
          <w:tcPr>
            <w:tcW w:type="dxa" w:w="3408"/>
          </w:tcPr>
          <w:p>
            <w:pPr>
              <w:spacing w:after="60" w:line="240" w:lineRule="auto"/>
              <w:snapToGrid w:val="0"/>
            </w:pPr>
            <w:r>
              <w:rPr>
                <w:sz w:val="18"/>
              </w:rPr>
              <w:t>Stock-level factors after removing 4 duplicates; macros separate</w:t>
            </w:r>
          </w:p>
        </w:tc>
        <w:tc>
          <w:tcPr>
            <w:tcW w:type="dxa" w:w="3408"/>
          </w:tcPr>
          <w:p>
            <w:pPr>
              <w:spacing w:after="60" w:line="240" w:lineRule="auto"/>
              <w:snapToGrid w:val="0"/>
            </w:pPr>
            <w:r>
              <w:rPr>
                <w:sz w:val="18"/>
              </w:rPr>
              <w:t>Five specified financial dimensions</w:t>
            </w:r>
          </w:p>
        </w:tc>
      </w:tr>
      <w:tr>
        <w:tc>
          <w:tcPr>
            <w:tcW w:type="dxa" w:w="3408"/>
          </w:tcPr>
          <w:p>
            <w:pPr>
              <w:spacing w:after="60" w:line="240" w:lineRule="auto"/>
              <w:snapToGrid w:val="0"/>
            </w:pPr>
            <w:r>
              <w:rPr>
                <w:sz w:val="18"/>
              </w:rPr>
              <w:t>Mean Rank IC</w:t>
            </w:r>
          </w:p>
        </w:tc>
        <w:tc>
          <w:tcPr>
            <w:tcW w:type="dxa" w:w="3408"/>
          </w:tcPr>
          <w:p>
            <w:pPr>
              <w:spacing w:after="60" w:line="240" w:lineRule="auto"/>
              <w:snapToGrid w:val="0"/>
            </w:pPr>
            <w:r>
              <w:rPr>
                <w:sz w:val="18"/>
              </w:rPr>
              <w:t>Absolute value ≥0.01</w:t>
            </w:r>
          </w:p>
        </w:tc>
        <w:tc>
          <w:tcPr>
            <w:tcW w:type="dxa" w:w="3408"/>
          </w:tcPr>
          <w:p>
            <w:pPr>
              <w:spacing w:after="60" w:line="240" w:lineRule="auto"/>
              <w:snapToGrid w:val="0"/>
            </w:pPr>
            <w:r>
              <w:rPr>
                <w:sz w:val="18"/>
              </w:rPr>
              <w:t>Descriptive metric; no gate</w:t>
            </w:r>
          </w:p>
        </w:tc>
      </w:tr>
      <w:tr>
        <w:tc>
          <w:tcPr>
            <w:tcW w:type="dxa" w:w="3408"/>
          </w:tcPr>
          <w:p>
            <w:pPr>
              <w:spacing w:after="60" w:line="240" w:lineRule="auto"/>
              <w:snapToGrid w:val="0"/>
            </w:pPr>
            <w:r>
              <w:rPr>
                <w:sz w:val="18"/>
              </w:rPr>
              <w:t>Rank ICIR</w:t>
            </w:r>
          </w:p>
        </w:tc>
        <w:tc>
          <w:tcPr>
            <w:tcW w:type="dxa" w:w="3408"/>
          </w:tcPr>
          <w:p>
            <w:pPr>
              <w:spacing w:after="60" w:line="240" w:lineRule="auto"/>
              <w:snapToGrid w:val="0"/>
            </w:pPr>
            <w:r>
              <w:rPr>
                <w:sz w:val="18"/>
              </w:rPr>
              <w:t>Absolute value ≥0.08</w:t>
            </w:r>
          </w:p>
        </w:tc>
        <w:tc>
          <w:tcPr>
            <w:tcW w:type="dxa" w:w="3408"/>
          </w:tcPr>
          <w:p>
            <w:pPr>
              <w:spacing w:after="60" w:line="240" w:lineRule="auto"/>
              <w:snapToGrid w:val="0"/>
            </w:pPr>
            <w:r>
              <w:rPr>
                <w:sz w:val="18"/>
              </w:rPr>
              <w:t>Descriptive metric; no gate</w:t>
            </w:r>
          </w:p>
        </w:tc>
      </w:tr>
      <w:tr>
        <w:tc>
          <w:tcPr>
            <w:tcW w:type="dxa" w:w="3408"/>
          </w:tcPr>
          <w:p>
            <w:pPr>
              <w:spacing w:after="60" w:line="240" w:lineRule="auto"/>
              <w:snapToGrid w:val="0"/>
            </w:pPr>
            <w:r>
              <w:rPr>
                <w:sz w:val="18"/>
              </w:rPr>
              <w:t>Annual agreement</w:t>
            </w:r>
          </w:p>
        </w:tc>
        <w:tc>
          <w:tcPr>
            <w:tcW w:type="dxa" w:w="3408"/>
          </w:tcPr>
          <w:p>
            <w:pPr>
              <w:spacing w:after="60" w:line="240" w:lineRule="auto"/>
              <w:snapToGrid w:val="0"/>
            </w:pPr>
            <w:r>
              <w:rPr>
                <w:sz w:val="18"/>
              </w:rPr>
              <w:t>≥60%</w:t>
            </w:r>
          </w:p>
        </w:tc>
        <w:tc>
          <w:tcPr>
            <w:tcW w:type="dxa" w:w="3408"/>
          </w:tcPr>
          <w:p>
            <w:pPr>
              <w:spacing w:after="60" w:line="240" w:lineRule="auto"/>
              <w:snapToGrid w:val="0"/>
            </w:pPr>
            <w:r>
              <w:rPr>
                <w:sz w:val="18"/>
              </w:rPr>
              <w:t>Descriptive metric; no gate</w:t>
            </w:r>
          </w:p>
        </w:tc>
      </w:tr>
      <w:tr>
        <w:tc>
          <w:tcPr>
            <w:tcW w:type="dxa" w:w="3408"/>
          </w:tcPr>
          <w:p>
            <w:pPr>
              <w:spacing w:after="60" w:line="240" w:lineRule="auto"/>
              <w:snapToGrid w:val="0"/>
            </w:pPr>
            <w:r>
              <w:rPr>
                <w:sz w:val="18"/>
              </w:rPr>
              <w:t>Correlation</w:t>
            </w:r>
          </w:p>
        </w:tc>
        <w:tc>
          <w:tcPr>
            <w:tcW w:type="dxa" w:w="3408"/>
          </w:tcPr>
          <w:p>
            <w:pPr>
              <w:spacing w:after="60" w:line="240" w:lineRule="auto"/>
              <w:snapToGrid w:val="0"/>
            </w:pPr>
            <w:r>
              <w:rPr>
                <w:sz w:val="18"/>
              </w:rPr>
              <w:t>Drop lower-ranked candidate at |mean weekly correlation| ≥0.85</w:t>
            </w:r>
          </w:p>
        </w:tc>
        <w:tc>
          <w:tcPr>
            <w:tcW w:type="dxa" w:w="3408"/>
          </w:tcPr>
          <w:p>
            <w:pPr>
              <w:spacing w:after="60" w:line="240" w:lineRule="auto"/>
              <w:snapToGrid w:val="0"/>
            </w:pPr>
            <w:r>
              <w:rPr>
                <w:sz w:val="18"/>
              </w:rPr>
              <w:t>No pruning; membership is specified</w:t>
            </w:r>
          </w:p>
        </w:tc>
      </w:tr>
    </w:tbl>
    <w:p>
      <w:pPr>
        <w:snapToGrid w:val="0"/>
        <w:spacing w:line="240" w:lineRule="auto"/>
      </w:pPr>
      <w:r>
        <w:t>The five dimensions are business growth (revenue growth), asset expansion (asset growth), operating profitability, operating cash generation (cash flow/assets) and financial leverage (debt/assets). To keep the candidate compact, operating profitability represents the profitability dimension and gross margin change is omitted. This design choice does not establish high correlation or lack of predictive value. All six fundamentals are shown for comparison.</w:t>
      </w:r>
    </w:p>
    <w:p>
      <w:pPr>
        <w:pStyle w:val="Heading1"/>
        <w:snapToGrid w:val="0"/>
        <w:spacing w:line="240" w:lineRule="auto"/>
      </w:pPr>
      <w:r>
        <w:t>3 Eleven and forty five factors</w:t>
      </w:r>
    </w:p>
    <w:p>
      <w:pPr>
        <w:snapToGrid w:val="0"/>
        <w:spacing w:line="240" w:lineRule="auto"/>
      </w:pPr>
      <w:r>
        <w:t>11 factors = the seven plus four macro variables, allowing models to use market conditions. Macro values are constant across stocks each week, so they are not screened by cross-sectional Rank IC.</w:t>
      </w:r>
    </w:p>
    <w:p>
      <w:pPr>
        <w:snapToGrid w:val="0"/>
        <w:spacing w:line="240" w:lineRule="auto"/>
      </w:pPr>
      <w:r>
        <w:t>45 factors = all original inputs (35 technical, six fundamental, four macro), including four duplicate columns, as the full-input comparison. Date, ticker and labels are excluded. No set is guaranteed optimal for every model.</w:t>
      </w:r>
    </w:p>
    <w:p>
      <w:pPr>
        <w:pStyle w:val="Heading1"/>
        <w:snapToGrid w:val="0"/>
        <w:spacing w:line="240" w:lineRule="auto"/>
      </w:pPr>
      <w:r>
        <w:t>4 Reproduction and use</w:t>
      </w:r>
    </w:p>
    <w:p>
      <w:pPr>
        <w:snapToGrid w:val="0"/>
        <w:spacing w:line="240" w:lineRule="auto"/>
      </w:pPr>
      <w:r>
        <w:t>Install pandas and numpy. Run: python Factor_Analysis.py --input PATH_TO_DATA.csv. No earlier results or separate definition file are required. CSV/JSON metrics and all four lists go to generated_results beside the script, or --output DIRECTORY. The script does not regenerate formatted Excel or perform XGBoost search.</w:t>
      </w:r>
    </w:p>
    <w:p>
      <w:pPr>
        <w:snapToGrid w:val="0"/>
        <w:spacing w:line="240" w:lineRule="auto"/>
      </w:pPr>
      <w:r>
        <w:t>These are full-sample exploratory results. Compare models on matched splits and tuning conditions; data used in feature selection cannot provide an independent test.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Microsoft YaHe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Microsoft YaHe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