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9CB46">
      <w:pPr>
        <w:pStyle w:val="31"/>
        <w:rPr>
          <w:rFonts w:hint="eastAsia" w:ascii="微软雅黑" w:hAnsi="微软雅黑" w:eastAsia="微软雅黑" w:cs="微软雅黑"/>
        </w:rPr>
      </w:pPr>
      <w:r>
        <w:rPr>
          <w:rFonts w:hint="eastAsia" w:ascii="微软雅黑" w:hAnsi="微软雅黑" w:eastAsia="微软雅黑" w:cs="微软雅黑"/>
        </w:rPr>
        <w:t>单因子计算方法与筛选标准</w:t>
      </w:r>
    </w:p>
    <w:p w14:paraId="4DA44EA4">
      <w:pPr>
        <w:rPr>
          <w:rFonts w:hint="eastAsia" w:ascii="微软雅黑" w:hAnsi="微软雅黑" w:eastAsia="微软雅黑" w:cs="微软雅黑"/>
        </w:rPr>
      </w:pPr>
      <w:r>
        <w:rPr>
          <w:rFonts w:hint="eastAsia" w:ascii="微软雅黑" w:hAnsi="微软雅黑" w:eastAsia="微软雅黑" w:cs="微软雅黑"/>
        </w:rPr>
        <w:t>中文说明 · 66股全样本探索性筛选</w:t>
      </w:r>
    </w:p>
    <w:p w14:paraId="7F0E7E0E">
      <w:pPr>
        <w:rPr>
          <w:rFonts w:hint="eastAsia" w:ascii="微软雅黑" w:hAnsi="微软雅黑" w:eastAsia="微软雅黑" w:cs="微软雅黑"/>
        </w:rPr>
      </w:pPr>
      <w:r>
        <w:rPr>
          <w:rFonts w:hint="eastAsia" w:ascii="微软雅黑" w:hAnsi="微软雅黑" w:eastAsia="微软雅黑" w:cs="微软雅黑"/>
        </w:rPr>
        <w:t>本说明解释7个优先因子如何产生。因子值使用队友提供的数据，本次计算评价指标并进行筛选，不重新构建原始因子。</w:t>
      </w:r>
    </w:p>
    <w:p w14:paraId="74FEF81C">
      <w:pPr>
        <w:pStyle w:val="3"/>
        <w:rPr>
          <w:rFonts w:hint="eastAsia" w:ascii="微软雅黑" w:hAnsi="微软雅黑" w:eastAsia="微软雅黑" w:cs="微软雅黑"/>
        </w:rPr>
      </w:pPr>
      <w:r>
        <w:rPr>
          <w:rFonts w:hint="eastAsia" w:ascii="微软雅黑" w:hAnsi="微软雅黑" w:eastAsia="微软雅黑" w:cs="微软雅黑"/>
        </w:rPr>
        <w:t>1 数据与收益标签</w:t>
      </w:r>
    </w:p>
    <w:p w14:paraId="6D5A51AB">
      <w:pPr>
        <w:rPr>
          <w:rFonts w:hint="eastAsia" w:ascii="微软雅黑" w:hAnsi="微软雅黑" w:eastAsia="微软雅黑" w:cs="微软雅黑"/>
        </w:rPr>
      </w:pPr>
      <w:r>
        <w:rPr>
          <w:rFonts w:hint="eastAsia" w:ascii="微软雅黑" w:hAnsi="微软雅黑" w:eastAsia="微软雅黑" w:cs="微软雅黑"/>
        </w:rPr>
        <w:t>数据源：data_new/test_45_factors_weekly.csv。分析覆盖2016-09-02至2026-08-21，共521周、27,585条股票—周记录。股票池共66只，每周实际有30至66只，所有因子的有效记录覆盖率均为100%。</w:t>
      </w:r>
    </w:p>
    <w:p w14:paraId="02F42502">
      <w:pPr>
        <w:rPr>
          <w:rFonts w:hint="eastAsia" w:ascii="微软雅黑" w:hAnsi="微软雅黑" w:eastAsia="微软雅黑" w:cs="微软雅黑"/>
        </w:rPr>
      </w:pPr>
      <w:r>
        <w:rPr>
          <w:rFonts w:hint="eastAsia" w:ascii="微软雅黑" w:hAnsi="微软雅黑" w:eastAsia="微软雅黑" w:cs="微软雅黑"/>
        </w:rPr>
        <w:t>使用连续收益标签 target，不使用分类标签 target2。收益标签为本周最后交易日至下一周最后交易日的复权收盘价对数收益率：</w:t>
      </w:r>
    </w:p>
    <w:p w14:paraId="35D3779F">
      <w:pPr>
        <w:rPr>
          <w:rFonts w:hint="eastAsia" w:ascii="微软雅黑" w:hAnsi="微软雅黑" w:eastAsia="微软雅黑" w:cs="微软雅黑"/>
        </w:rPr>
      </w:pPr>
      <w:r>
        <w:rPr>
          <w:rFonts w:hint="eastAsia" w:ascii="微软雅黑" w:hAnsi="微软雅黑" w:eastAsia="微软雅黑" w:cs="微软雅黑"/>
        </w:rPr>
        <w:t>target(i,t) = ln[AdjClose(i,t+1) / AdjClose(i,t)]</w:t>
      </w:r>
    </w:p>
    <w:p w14:paraId="266495B3">
      <w:pPr>
        <w:rPr>
          <w:rFonts w:hint="eastAsia" w:ascii="微软雅黑" w:hAnsi="微软雅黑" w:eastAsia="微软雅黑" w:cs="微软雅黑"/>
        </w:rPr>
      </w:pPr>
      <w:r>
        <w:rPr>
          <w:rFonts w:hint="eastAsia" w:ascii="微软雅黑" w:hAnsi="微软雅黑" w:eastAsia="微软雅黑" w:cs="微软雅黑"/>
        </w:rPr>
        <w:t>2026-08-28的66条记录未参与分析，因为提供的数据无法核验其下一周价格。这不代表这些标签已被证明错误。</w:t>
      </w:r>
    </w:p>
    <w:p w14:paraId="24FEF7FC">
      <w:pPr>
        <w:pStyle w:val="3"/>
        <w:rPr>
          <w:rFonts w:hint="eastAsia" w:ascii="微软雅黑" w:hAnsi="微软雅黑" w:eastAsia="微软雅黑" w:cs="微软雅黑"/>
        </w:rPr>
      </w:pPr>
      <w:r>
        <w:rPr>
          <w:rFonts w:hint="eastAsia" w:ascii="微软雅黑" w:hAnsi="微软雅黑" w:eastAsia="微软雅黑" w:cs="微软雅黑"/>
        </w:rPr>
        <w:t>2 评价指标如何计算</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12"/>
        <w:gridCol w:w="5112"/>
      </w:tblGrid>
      <w:tr w14:paraId="6C706F7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75B96F34">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指标</w:t>
            </w:r>
          </w:p>
        </w:tc>
        <w:tc>
          <w:tcPr>
            <w:tcW w:w="5112" w:type="dxa"/>
          </w:tcPr>
          <w:p w14:paraId="34012681">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计算方法</w:t>
            </w:r>
          </w:p>
        </w:tc>
      </w:tr>
      <w:tr w14:paraId="6760799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3AC8F672">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每周 Rank IC</w:t>
            </w:r>
          </w:p>
        </w:tc>
        <w:tc>
          <w:tcPr>
            <w:tcW w:w="5112" w:type="dxa"/>
          </w:tcPr>
          <w:p w14:paraId="600A45F7">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同一周内，将因子值与下一周收益分别排名，再计算两组排名的Pearson相关系数，即Spearman相关系数；并列值取平均排名。</w:t>
            </w:r>
          </w:p>
        </w:tc>
      </w:tr>
      <w:tr w14:paraId="6ED3EFE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534F5674">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平均 Rank IC</w:t>
            </w:r>
          </w:p>
        </w:tc>
        <w:tc>
          <w:tcPr>
            <w:tcW w:w="5112" w:type="dxa"/>
          </w:tcPr>
          <w:p w14:paraId="71FFB8D4">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对全部有效周的Rank IC等权取平均。正负号表示观察到的信号方向。</w:t>
            </w:r>
          </w:p>
        </w:tc>
      </w:tr>
      <w:tr w14:paraId="070550D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12C038BF">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Rank ICIR</w:t>
            </w:r>
          </w:p>
        </w:tc>
        <w:tc>
          <w:tcPr>
            <w:tcW w:w="5112" w:type="dxa"/>
          </w:tcPr>
          <w:p w14:paraId="0B4F8D88">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平均Rank IC除以周度Rank IC的样本标准差（ddof=1）；不年化。</w:t>
            </w:r>
          </w:p>
        </w:tc>
      </w:tr>
      <w:tr w14:paraId="5EF332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491B51C6">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年度方向一致性</w:t>
            </w:r>
          </w:p>
        </w:tc>
        <w:tc>
          <w:tcPr>
            <w:tcW w:w="5112" w:type="dxa"/>
          </w:tcPr>
          <w:p w14:paraId="02D0940E">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计算各年的平均Rank IC，统计与全样本平均Rank IC正负号一致的年份比例。</w:t>
            </w:r>
          </w:p>
        </w:tc>
      </w:tr>
      <w:tr w14:paraId="2C7F31E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78517022">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因子间相关性</w:t>
            </w:r>
          </w:p>
        </w:tc>
        <w:tc>
          <w:tcPr>
            <w:tcW w:w="5112" w:type="dxa"/>
          </w:tcPr>
          <w:p w14:paraId="38DAC013">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逐周计算两个因子的横截面Spearman相关系数，再按周取平均；去冗余时对该平均值取绝对值。</w:t>
            </w:r>
          </w:p>
        </w:tc>
      </w:tr>
    </w:tbl>
    <w:p w14:paraId="6F6C30A6">
      <w:pPr>
        <w:rPr>
          <w:rFonts w:hint="eastAsia" w:ascii="微软雅黑" w:hAnsi="微软雅黑" w:eastAsia="微软雅黑" w:cs="微软雅黑"/>
        </w:rPr>
      </w:pPr>
      <w:r>
        <w:rPr>
          <w:rFonts w:hint="eastAsia" w:ascii="微软雅黑" w:hAnsi="微软雅黑" w:eastAsia="微软雅黑" w:cs="微软雅黑"/>
        </w:rPr>
        <w:t>有效周：至少20只有效股票、至少5个不同的因子值，且至少2个不同的目标收益值。可评价年份：至少40个有效周。本次为2017—2025年，共9年；2016年和2026年仍参与全样本指标计算。</w:t>
      </w:r>
    </w:p>
    <w:p w14:paraId="49915F45">
      <w:pPr>
        <w:rPr>
          <w:rFonts w:hint="eastAsia" w:ascii="微软雅黑" w:hAnsi="微软雅黑" w:eastAsia="微软雅黑" w:cs="微软雅黑"/>
        </w:rPr>
      </w:pPr>
      <w:r>
        <w:rPr>
          <w:rFonts w:hint="eastAsia" w:ascii="微软雅黑" w:hAnsi="微软雅黑" w:eastAsia="微软雅黑" w:cs="微软雅黑"/>
        </w:rPr>
        <w:br w:type="page"/>
      </w:r>
      <w:bookmarkStart w:id="0" w:name="_GoBack"/>
      <w:r>
        <w:rPr>
          <w:rFonts w:hint="eastAsia" w:ascii="微软雅黑" w:hAnsi="微软雅黑" w:eastAsia="微软雅黑" w:cs="微软雅黑"/>
          <w:b/>
          <w:bCs/>
        </w:rPr>
        <w:t>3 筛选标准与去冗余</w:t>
      </w:r>
      <w:bookmarkEnd w:id="0"/>
    </w:p>
    <w:p w14:paraId="36540E0C">
      <w:pPr>
        <w:rPr>
          <w:rFonts w:hint="eastAsia" w:ascii="微软雅黑" w:hAnsi="微软雅黑" w:eastAsia="微软雅黑" w:cs="微软雅黑"/>
        </w:rPr>
      </w:pPr>
      <w:r>
        <w:rPr>
          <w:rFonts w:hint="eastAsia" w:ascii="微软雅黑" w:hAnsi="微软雅黑" w:eastAsia="微软雅黑" w:cs="微软雅黑"/>
        </w:rPr>
        <w:t>45个原始因子先剔除4个完全重复的列，并单独保留4个宏观因子。同周宏观值对所有股票相同，无法计算有意义的横截面Rank IC。剩余37个股票层面的因子进入筛选。</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12"/>
        <w:gridCol w:w="5112"/>
      </w:tblGrid>
      <w:tr w14:paraId="5B0ED85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381CF713">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优先候选条件</w:t>
            </w:r>
          </w:p>
        </w:tc>
        <w:tc>
          <w:tcPr>
            <w:tcW w:w="5112" w:type="dxa"/>
          </w:tcPr>
          <w:p w14:paraId="13F1971D">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要求</w:t>
            </w:r>
          </w:p>
        </w:tc>
      </w:tr>
      <w:tr w14:paraId="7889F1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7F5DC4DE">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有效记录覆盖率</w:t>
            </w:r>
          </w:p>
        </w:tc>
        <w:tc>
          <w:tcPr>
            <w:tcW w:w="5112" w:type="dxa"/>
          </w:tcPr>
          <w:p w14:paraId="464441F9">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≥80%</w:t>
            </w:r>
          </w:p>
        </w:tc>
      </w:tr>
      <w:tr w14:paraId="04C176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2C9B511F">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有效历史长度</w:t>
            </w:r>
          </w:p>
        </w:tc>
        <w:tc>
          <w:tcPr>
            <w:tcW w:w="5112" w:type="dxa"/>
          </w:tcPr>
          <w:p w14:paraId="3F002F4E">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≥104个有效周且≥3个可评价年份</w:t>
            </w:r>
          </w:p>
        </w:tc>
      </w:tr>
      <w:tr w14:paraId="26999C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2048E7F9">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|平均 Rank IC|</w:t>
            </w:r>
          </w:p>
        </w:tc>
        <w:tc>
          <w:tcPr>
            <w:tcW w:w="5112" w:type="dxa"/>
          </w:tcPr>
          <w:p w14:paraId="63149613">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≥0.01</w:t>
            </w:r>
          </w:p>
        </w:tc>
      </w:tr>
      <w:tr w14:paraId="6354B8D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7FF6B4F8">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|Rank ICIR|</w:t>
            </w:r>
          </w:p>
        </w:tc>
        <w:tc>
          <w:tcPr>
            <w:tcW w:w="5112" w:type="dxa"/>
          </w:tcPr>
          <w:p w14:paraId="402C067C">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≥0.08</w:t>
            </w:r>
          </w:p>
        </w:tc>
      </w:tr>
      <w:tr w14:paraId="2A9B8FD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2A189382">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年度方向一致性</w:t>
            </w:r>
          </w:p>
        </w:tc>
        <w:tc>
          <w:tcPr>
            <w:tcW w:w="5112" w:type="dxa"/>
          </w:tcPr>
          <w:p w14:paraId="71F4FC56">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≥60%，本次即至少6/9年</w:t>
            </w:r>
          </w:p>
        </w:tc>
      </w:tr>
    </w:tbl>
    <w:p w14:paraId="19DC07EE">
      <w:pPr>
        <w:rPr>
          <w:rFonts w:hint="eastAsia" w:ascii="微软雅黑" w:hAnsi="微软雅黑" w:eastAsia="微软雅黑" w:cs="微软雅黑"/>
        </w:rPr>
      </w:pPr>
      <w:r>
        <w:rPr>
          <w:rFonts w:hint="eastAsia" w:ascii="微软雅黑" w:hAnsi="微软雅黑" w:eastAsia="微软雅黑" w:cs="微软雅黑"/>
        </w:rPr>
        <w:t>8个因子同时达到上述门槛。按|平均Rank IC|从高到低处理候选：若与任一已保留候选的|平均周度相关系数|≥0.85，则降为相关性备选。intraday_return与ret_1d、body_range_ratio的平均相关系数分别约为0.870和0.925，因此降级，最终保留7个。</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6"/>
        <w:gridCol w:w="2556"/>
        <w:gridCol w:w="2556"/>
        <w:gridCol w:w="2556"/>
      </w:tblGrid>
      <w:tr w14:paraId="0D03CB8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69A48E63">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因子字段</w:t>
            </w:r>
          </w:p>
        </w:tc>
        <w:tc>
          <w:tcPr>
            <w:tcW w:w="2556" w:type="dxa"/>
          </w:tcPr>
          <w:p w14:paraId="5B74E914">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平均 Rank IC</w:t>
            </w:r>
          </w:p>
        </w:tc>
        <w:tc>
          <w:tcPr>
            <w:tcW w:w="2556" w:type="dxa"/>
          </w:tcPr>
          <w:p w14:paraId="0DD74510">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Rank ICIR</w:t>
            </w:r>
          </w:p>
        </w:tc>
        <w:tc>
          <w:tcPr>
            <w:tcW w:w="2556" w:type="dxa"/>
          </w:tcPr>
          <w:p w14:paraId="545E5A07">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年度同向</w:t>
            </w:r>
          </w:p>
        </w:tc>
      </w:tr>
      <w:tr w14:paraId="034B77C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7BFFD9A2">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revenue_growth_yoy</w:t>
            </w:r>
          </w:p>
        </w:tc>
        <w:tc>
          <w:tcPr>
            <w:tcW w:w="2556" w:type="dxa"/>
          </w:tcPr>
          <w:p w14:paraId="61EFC96B">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0.0268</w:t>
            </w:r>
          </w:p>
        </w:tc>
        <w:tc>
          <w:tcPr>
            <w:tcW w:w="2556" w:type="dxa"/>
          </w:tcPr>
          <w:p w14:paraId="177D771F">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0.141</w:t>
            </w:r>
          </w:p>
        </w:tc>
        <w:tc>
          <w:tcPr>
            <w:tcW w:w="2556" w:type="dxa"/>
          </w:tcPr>
          <w:p w14:paraId="22C3468A">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7/9</w:t>
            </w:r>
          </w:p>
        </w:tc>
      </w:tr>
      <w:tr w14:paraId="1E98B3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7E66B338">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ret_120d</w:t>
            </w:r>
          </w:p>
        </w:tc>
        <w:tc>
          <w:tcPr>
            <w:tcW w:w="2556" w:type="dxa"/>
          </w:tcPr>
          <w:p w14:paraId="6CCA11B7">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0.0226</w:t>
            </w:r>
          </w:p>
        </w:tc>
        <w:tc>
          <w:tcPr>
            <w:tcW w:w="2556" w:type="dxa"/>
          </w:tcPr>
          <w:p w14:paraId="7C255080">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0.100</w:t>
            </w:r>
          </w:p>
        </w:tc>
        <w:tc>
          <w:tcPr>
            <w:tcW w:w="2556" w:type="dxa"/>
          </w:tcPr>
          <w:p w14:paraId="5EBFE77D">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6/9</w:t>
            </w:r>
          </w:p>
        </w:tc>
      </w:tr>
      <w:tr w14:paraId="2A5D282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52BCE177">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cashflow_to_assets</w:t>
            </w:r>
          </w:p>
        </w:tc>
        <w:tc>
          <w:tcPr>
            <w:tcW w:w="2556" w:type="dxa"/>
          </w:tcPr>
          <w:p w14:paraId="0CD1B40D">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0.0225</w:t>
            </w:r>
          </w:p>
        </w:tc>
        <w:tc>
          <w:tcPr>
            <w:tcW w:w="2556" w:type="dxa"/>
          </w:tcPr>
          <w:p w14:paraId="014AB6CD">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0.113</w:t>
            </w:r>
          </w:p>
        </w:tc>
        <w:tc>
          <w:tcPr>
            <w:tcW w:w="2556" w:type="dxa"/>
          </w:tcPr>
          <w:p w14:paraId="5FDA5DC7">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9/9</w:t>
            </w:r>
          </w:p>
        </w:tc>
      </w:tr>
      <w:tr w14:paraId="11FD623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3B9CAACA">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ret_1d</w:t>
            </w:r>
          </w:p>
        </w:tc>
        <w:tc>
          <w:tcPr>
            <w:tcW w:w="2556" w:type="dxa"/>
          </w:tcPr>
          <w:p w14:paraId="443AAD5A">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-0.0189</w:t>
            </w:r>
          </w:p>
        </w:tc>
        <w:tc>
          <w:tcPr>
            <w:tcW w:w="2556" w:type="dxa"/>
          </w:tcPr>
          <w:p w14:paraId="4006B8D8">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-0.098</w:t>
            </w:r>
          </w:p>
        </w:tc>
        <w:tc>
          <w:tcPr>
            <w:tcW w:w="2556" w:type="dxa"/>
          </w:tcPr>
          <w:p w14:paraId="31E0E289">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7/9</w:t>
            </w:r>
          </w:p>
        </w:tc>
      </w:tr>
      <w:tr w14:paraId="1AC04E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2236CFA5">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ret_5d</w:t>
            </w:r>
          </w:p>
        </w:tc>
        <w:tc>
          <w:tcPr>
            <w:tcW w:w="2556" w:type="dxa"/>
          </w:tcPr>
          <w:p w14:paraId="67BB6E56">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-0.0172</w:t>
            </w:r>
          </w:p>
        </w:tc>
        <w:tc>
          <w:tcPr>
            <w:tcW w:w="2556" w:type="dxa"/>
          </w:tcPr>
          <w:p w14:paraId="458A6FB9">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-0.085</w:t>
            </w:r>
          </w:p>
        </w:tc>
        <w:tc>
          <w:tcPr>
            <w:tcW w:w="2556" w:type="dxa"/>
          </w:tcPr>
          <w:p w14:paraId="6E388544">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7/9</w:t>
            </w:r>
          </w:p>
        </w:tc>
      </w:tr>
      <w:tr w14:paraId="3C1B0AE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63D4F292">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close_location_value</w:t>
            </w:r>
          </w:p>
        </w:tc>
        <w:tc>
          <w:tcPr>
            <w:tcW w:w="2556" w:type="dxa"/>
          </w:tcPr>
          <w:p w14:paraId="29CFCAB5">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-0.0166</w:t>
            </w:r>
          </w:p>
        </w:tc>
        <w:tc>
          <w:tcPr>
            <w:tcW w:w="2556" w:type="dxa"/>
          </w:tcPr>
          <w:p w14:paraId="1C5EF842">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-0.098</w:t>
            </w:r>
          </w:p>
        </w:tc>
        <w:tc>
          <w:tcPr>
            <w:tcW w:w="2556" w:type="dxa"/>
          </w:tcPr>
          <w:p w14:paraId="5E81E8D5">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7/9</w:t>
            </w:r>
          </w:p>
        </w:tc>
      </w:tr>
      <w:tr w14:paraId="5CE0A36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4756E441">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body_range_ratio</w:t>
            </w:r>
          </w:p>
        </w:tc>
        <w:tc>
          <w:tcPr>
            <w:tcW w:w="2556" w:type="dxa"/>
          </w:tcPr>
          <w:p w14:paraId="4A458F50">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-0.0163</w:t>
            </w:r>
          </w:p>
        </w:tc>
        <w:tc>
          <w:tcPr>
            <w:tcW w:w="2556" w:type="dxa"/>
          </w:tcPr>
          <w:p w14:paraId="5E8CA135">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-0.092</w:t>
            </w:r>
          </w:p>
        </w:tc>
        <w:tc>
          <w:tcPr>
            <w:tcW w:w="2556" w:type="dxa"/>
          </w:tcPr>
          <w:p w14:paraId="69C7FBB1">
            <w:pPr>
              <w:spacing w:before="60" w:after="60"/>
              <w:rPr>
                <w:rFonts w:hint="eastAsia" w:ascii="微软雅黑" w:hAnsi="微软雅黑" w:eastAsia="微软雅黑" w:cs="微软雅黑"/>
                <w:color w:val="376092" w:themeColor="accent1" w:themeShade="BF"/>
              </w:rPr>
            </w:pPr>
            <w:r>
              <w:rPr>
                <w:rFonts w:hint="eastAsia" w:ascii="微软雅黑" w:hAnsi="微软雅黑" w:eastAsia="微软雅黑" w:cs="微软雅黑"/>
                <w:color w:val="376092" w:themeColor="accent1" w:themeShade="BF"/>
                <w:sz w:val="19"/>
              </w:rPr>
              <w:t>7/9</w:t>
            </w:r>
          </w:p>
        </w:tc>
      </w:tr>
    </w:tbl>
    <w:p w14:paraId="49B21F71">
      <w:pPr>
        <w:rPr>
          <w:rFonts w:hint="eastAsia" w:ascii="微软雅黑" w:hAnsi="微软雅黑" w:eastAsia="微软雅黑" w:cs="微软雅黑"/>
        </w:rPr>
      </w:pPr>
      <w:r>
        <w:rPr>
          <w:rFonts w:hint="eastAsia" w:ascii="微软雅黑" w:hAnsi="微软雅黑" w:eastAsia="微软雅黑" w:cs="微软雅黑"/>
        </w:rPr>
        <w:t>结果：2个基本面因子、5个技术因子优先，其他30个作为备选。非优先因子中，|平均Rank IC|≥0.005列为一般备选，低于0.005列为弱信号备选；因高相关降级者单独标记。负向因子不会仅因负号被淘汰，模型输入保留原始数值。</w:t>
      </w:r>
    </w:p>
    <w:p w14:paraId="754AB56C">
      <w:pPr>
        <w:rPr>
          <w:rFonts w:hint="eastAsia" w:ascii="微软雅黑" w:hAnsi="微软雅黑" w:eastAsia="微软雅黑" w:cs="微软雅黑"/>
        </w:rPr>
      </w:pPr>
      <w:r>
        <w:rPr>
          <w:rFonts w:hint="eastAsia" w:ascii="微软雅黑" w:hAnsi="微软雅黑" w:eastAsia="微软雅黑" w:cs="微软雅黑"/>
        </w:rPr>
        <w:br w:type="page"/>
      </w:r>
    </w:p>
    <w:p w14:paraId="409D8973">
      <w:pPr>
        <w:pStyle w:val="31"/>
        <w:rPr>
          <w:rFonts w:hint="default" w:ascii="Times New Roman" w:hAnsi="Times New Roman" w:cs="Times New Roman"/>
        </w:rPr>
      </w:pPr>
      <w:r>
        <w:rPr>
          <w:rFonts w:hint="default" w:ascii="Times New Roman" w:hAnsi="Times New Roman" w:cs="Times New Roman"/>
        </w:rPr>
        <w:t>Single Factor Calculation and Screening</w:t>
      </w:r>
    </w:p>
    <w:p w14:paraId="704B5576">
      <w:pPr>
        <w:rPr>
          <w:rFonts w:hint="default" w:ascii="Times New Roman" w:hAnsi="Times New Roman" w:cs="Times New Roman"/>
        </w:rPr>
      </w:pPr>
      <w:r>
        <w:rPr>
          <w:rFonts w:hint="default" w:ascii="Times New Roman" w:hAnsi="Times New Roman" w:cs="Times New Roman"/>
        </w:rPr>
        <w:t>English explanation · Full-sample exploration of a 66-stock universe</w:t>
      </w:r>
    </w:p>
    <w:p w14:paraId="3241FBE4">
      <w:pPr>
        <w:rPr>
          <w:rFonts w:hint="default" w:ascii="Times New Roman" w:hAnsi="Times New Roman" w:cs="Times New Roman"/>
        </w:rPr>
      </w:pPr>
      <w:r>
        <w:rPr>
          <w:rFonts w:hint="default" w:ascii="Times New Roman" w:hAnsi="Times New Roman" w:cs="Times New Roman"/>
        </w:rPr>
        <w:t>This note explains how the seven priority factors were selected. Factor values come from the supplied dataset. This analysis evaluates and screens those factors rather than reconstructing the original features.</w:t>
      </w:r>
    </w:p>
    <w:p w14:paraId="1C3A972A">
      <w:pPr>
        <w:pStyle w:val="3"/>
        <w:rPr>
          <w:rFonts w:hint="default" w:ascii="Times New Roman" w:hAnsi="Times New Roman" w:cs="Times New Roman"/>
        </w:rPr>
      </w:pPr>
      <w:r>
        <w:rPr>
          <w:rFonts w:hint="default" w:ascii="Times New Roman" w:hAnsi="Times New Roman" w:cs="Times New Roman"/>
        </w:rPr>
        <w:t>1 Data and return label</w:t>
      </w:r>
    </w:p>
    <w:p w14:paraId="18EA3BA0">
      <w:pPr>
        <w:rPr>
          <w:rFonts w:hint="default" w:ascii="Times New Roman" w:hAnsi="Times New Roman" w:cs="Times New Roman"/>
        </w:rPr>
      </w:pPr>
      <w:r>
        <w:rPr>
          <w:rFonts w:hint="default" w:ascii="Times New Roman" w:hAnsi="Times New Roman" w:cs="Times New Roman"/>
        </w:rPr>
        <w:t>Source: data_new/test_45_factors_weekly.csv. The analysis covers 2 September 2016 to 21 August 2026: 521 weeks and 27,585 stock-week records. The universe contains 66 stocks overall, with 30–66 stocks in each week. All factors have 100% valid-record coverage in this dataset.</w:t>
      </w:r>
    </w:p>
    <w:p w14:paraId="270D2B19">
      <w:pPr>
        <w:rPr>
          <w:rFonts w:hint="default" w:ascii="Times New Roman" w:hAnsi="Times New Roman" w:cs="Times New Roman"/>
        </w:rPr>
      </w:pPr>
      <w:r>
        <w:rPr>
          <w:rFonts w:hint="default" w:ascii="Times New Roman" w:hAnsi="Times New Roman" w:cs="Times New Roman"/>
        </w:rPr>
        <w:t>Use continuous target, not classification target2. The label is the log return between the final adjusted closing prices of the signal week and the following calendar week:</w:t>
      </w:r>
    </w:p>
    <w:p w14:paraId="755255A8">
      <w:pPr>
        <w:rPr>
          <w:rFonts w:hint="default" w:ascii="Times New Roman" w:hAnsi="Times New Roman" w:cs="Times New Roman"/>
        </w:rPr>
      </w:pPr>
      <w:r>
        <w:rPr>
          <w:rFonts w:hint="default" w:ascii="Times New Roman" w:hAnsi="Times New Roman" w:cs="Times New Roman"/>
        </w:rPr>
        <w:t>target(i,t) = ln[AdjClose(i,t+1) / AdjClose(i,t)]</w:t>
      </w:r>
    </w:p>
    <w:p w14:paraId="3D6EF92A">
      <w:pPr>
        <w:rPr>
          <w:rFonts w:hint="default" w:ascii="Times New Roman" w:hAnsi="Times New Roman" w:cs="Times New Roman"/>
        </w:rPr>
      </w:pPr>
      <w:r>
        <w:rPr>
          <w:rFonts w:hint="default" w:ascii="Times New Roman" w:hAnsi="Times New Roman" w:cs="Times New Roman"/>
        </w:rPr>
        <w:t>Exclude 66 rows dated 28 August 2026 because the supplied data cannot verify the following-week prices. This does not establish that those labels are incorrect.</w:t>
      </w:r>
    </w:p>
    <w:p w14:paraId="0E0A3894">
      <w:pPr>
        <w:pStyle w:val="3"/>
        <w:rPr>
          <w:rFonts w:hint="default" w:ascii="Times New Roman" w:hAnsi="Times New Roman" w:cs="Times New Roman"/>
        </w:rPr>
      </w:pPr>
      <w:r>
        <w:rPr>
          <w:rFonts w:hint="default" w:ascii="Times New Roman" w:hAnsi="Times New Roman" w:cs="Times New Roman"/>
        </w:rPr>
        <w:t>2 Metric calculations</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12"/>
        <w:gridCol w:w="5112"/>
      </w:tblGrid>
      <w:tr w14:paraId="6BEA150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1B114159">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Metric</w:t>
            </w:r>
          </w:p>
        </w:tc>
        <w:tc>
          <w:tcPr>
            <w:tcW w:w="5112" w:type="dxa"/>
          </w:tcPr>
          <w:p w14:paraId="5A29AFB2">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Calculation</w:t>
            </w:r>
          </w:p>
        </w:tc>
      </w:tr>
      <w:tr w14:paraId="3718617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5F01A474">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Weekly Rank IC</w:t>
            </w:r>
          </w:p>
        </w:tc>
        <w:tc>
          <w:tcPr>
            <w:tcW w:w="5112" w:type="dxa"/>
          </w:tcPr>
          <w:p w14:paraId="7DA37A79">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Within each week, rank factor values and next-week returns across stocks. Compute Pearson correlation between the ranks, equivalent to Spearman correlation. Use average ranks for ties.</w:t>
            </w:r>
          </w:p>
        </w:tc>
      </w:tr>
      <w:tr w14:paraId="1159F50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19146A0F">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Mean Rank IC</w:t>
            </w:r>
          </w:p>
        </w:tc>
        <w:tc>
          <w:tcPr>
            <w:tcW w:w="5112" w:type="dxa"/>
          </w:tcPr>
          <w:p w14:paraId="5062F0F8">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Take the equally weighted mean over all valid weeks. Its sign gives the observed signal direction.</w:t>
            </w:r>
          </w:p>
        </w:tc>
      </w:tr>
      <w:tr w14:paraId="54FCA2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0C280884">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Rank ICIR</w:t>
            </w:r>
          </w:p>
        </w:tc>
        <w:tc>
          <w:tcPr>
            <w:tcW w:w="5112" w:type="dxa"/>
          </w:tcPr>
          <w:p w14:paraId="16CF0032">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Divide Mean Rank IC by the sample standard deviation of weekly Rank IC (ddof=1). Do not annualise.</w:t>
            </w:r>
          </w:p>
        </w:tc>
      </w:tr>
      <w:tr w14:paraId="5590E35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33E67131">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Annual sign agreement</w:t>
            </w:r>
          </w:p>
        </w:tc>
        <w:tc>
          <w:tcPr>
            <w:tcW w:w="5112" w:type="dxa"/>
          </w:tcPr>
          <w:p w14:paraId="030213EA">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Calculate each annual Mean Rank IC. Report the share of eligible years whose sign matches the full-sample Mean Rank IC.</w:t>
            </w:r>
          </w:p>
        </w:tc>
      </w:tr>
      <w:tr w14:paraId="774F1D9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6BF845E4">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Factor correlation</w:t>
            </w:r>
          </w:p>
        </w:tc>
        <w:tc>
          <w:tcPr>
            <w:tcW w:w="5112" w:type="dxa"/>
          </w:tcPr>
          <w:p w14:paraId="571841F9">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Calculate weekly cross-sectional Spearman correlations between factors and average over weeks. Apply the absolute-value threshold to this mean.</w:t>
            </w:r>
          </w:p>
        </w:tc>
      </w:tr>
    </w:tbl>
    <w:p w14:paraId="068A0ADC">
      <w:pPr>
        <w:rPr>
          <w:rFonts w:hint="default" w:ascii="Times New Roman" w:hAnsi="Times New Roman" w:cs="Times New Roman"/>
        </w:rPr>
      </w:pPr>
      <w:r>
        <w:rPr>
          <w:rFonts w:hint="default" w:ascii="Times New Roman" w:hAnsi="Times New Roman" w:cs="Times New Roman"/>
        </w:rPr>
        <w:t>A valid week requires at least 20 stocks, five distinct factor values and two distinct target values. An eligible year requires at least 40 valid weeks. Here, nine years qualify: 2017–2025. The partial years 2016 and 2026 still contribute to full-sample metrics.</w:t>
      </w:r>
    </w:p>
    <w:p w14:paraId="70F05E90">
      <w:pPr>
        <w:rPr>
          <w:rFonts w:hint="default" w:ascii="Times New Roman" w:hAnsi="Times New Roman" w:cs="Times New Roman"/>
        </w:rPr>
      </w:pPr>
      <w:r>
        <w:rPr>
          <w:rFonts w:hint="default" w:ascii="Times New Roman" w:hAnsi="Times New Roman" w:cs="Times New Roman"/>
        </w:rPr>
        <w:br w:type="page"/>
      </w:r>
    </w:p>
    <w:p w14:paraId="39965A3F">
      <w:pPr>
        <w:pStyle w:val="3"/>
        <w:rPr>
          <w:rFonts w:hint="default" w:ascii="Times New Roman" w:hAnsi="Times New Roman" w:cs="Times New Roman"/>
        </w:rPr>
      </w:pPr>
      <w:r>
        <w:rPr>
          <w:rFonts w:hint="default" w:ascii="Times New Roman" w:hAnsi="Times New Roman" w:cs="Times New Roman"/>
        </w:rPr>
        <w:t>3 Screening rules and redundancy</w:t>
      </w:r>
    </w:p>
    <w:p w14:paraId="1BB58DB1">
      <w:pPr>
        <w:rPr>
          <w:rFonts w:hint="default" w:ascii="Times New Roman" w:hAnsi="Times New Roman" w:cs="Times New Roman"/>
        </w:rPr>
      </w:pPr>
      <w:r>
        <w:rPr>
          <w:rFonts w:hint="default" w:ascii="Times New Roman" w:hAnsi="Times New Roman" w:cs="Times New Roman"/>
        </w:rPr>
        <w:t>Start with 45 factors. Remove four exact duplicate columns and retain four macro factors separately. Macro values are identical across stocks within a week, so their cross-sectional Rank IC is undefined. Screen the remaining 37 stock-level factors.</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12"/>
        <w:gridCol w:w="5112"/>
      </w:tblGrid>
      <w:tr w14:paraId="4ED6139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64AA8D66">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Priority-candidate condition</w:t>
            </w:r>
          </w:p>
        </w:tc>
        <w:tc>
          <w:tcPr>
            <w:tcW w:w="5112" w:type="dxa"/>
          </w:tcPr>
          <w:p w14:paraId="4886C550">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Requirement</w:t>
            </w:r>
          </w:p>
        </w:tc>
      </w:tr>
      <w:tr w14:paraId="6CE73E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0184AC2C">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Valid-record coverage</w:t>
            </w:r>
          </w:p>
        </w:tc>
        <w:tc>
          <w:tcPr>
            <w:tcW w:w="5112" w:type="dxa"/>
          </w:tcPr>
          <w:p w14:paraId="4326AF0C">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At least 80%</w:t>
            </w:r>
          </w:p>
        </w:tc>
      </w:tr>
      <w:tr w14:paraId="5F334D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59DD61C3">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Valid history</w:t>
            </w:r>
          </w:p>
        </w:tc>
        <w:tc>
          <w:tcPr>
            <w:tcW w:w="5112" w:type="dxa"/>
          </w:tcPr>
          <w:p w14:paraId="327C2A5F">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At least 104 weeks and three eligible years</w:t>
            </w:r>
          </w:p>
        </w:tc>
      </w:tr>
      <w:tr w14:paraId="39B6A13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05AEDC48">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Absolute Mean Rank IC</w:t>
            </w:r>
          </w:p>
        </w:tc>
        <w:tc>
          <w:tcPr>
            <w:tcW w:w="5112" w:type="dxa"/>
          </w:tcPr>
          <w:p w14:paraId="7B328044">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At least 0.01</w:t>
            </w:r>
          </w:p>
        </w:tc>
      </w:tr>
      <w:tr w14:paraId="14292C1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42B0C8CE">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Absolute Rank ICIR</w:t>
            </w:r>
          </w:p>
        </w:tc>
        <w:tc>
          <w:tcPr>
            <w:tcW w:w="5112" w:type="dxa"/>
          </w:tcPr>
          <w:p w14:paraId="7FC5239D">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At least 0.08</w:t>
            </w:r>
          </w:p>
        </w:tc>
      </w:tr>
      <w:tr w14:paraId="3659EE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112" w:type="dxa"/>
          </w:tcPr>
          <w:p w14:paraId="481C1BB5">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Annual sign agreement</w:t>
            </w:r>
          </w:p>
        </w:tc>
        <w:tc>
          <w:tcPr>
            <w:tcW w:w="5112" w:type="dxa"/>
          </w:tcPr>
          <w:p w14:paraId="5E5EA0E7">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At least 60%, or at least six of nine years here</w:t>
            </w:r>
          </w:p>
        </w:tc>
      </w:tr>
    </w:tbl>
    <w:p w14:paraId="74BDAA92">
      <w:pPr>
        <w:rPr>
          <w:rFonts w:hint="default" w:ascii="Times New Roman" w:hAnsi="Times New Roman" w:cs="Times New Roman"/>
        </w:rPr>
      </w:pPr>
      <w:r>
        <w:rPr>
          <w:rFonts w:hint="default" w:ascii="Times New Roman" w:hAnsi="Times New Roman" w:cs="Times New Roman"/>
        </w:rPr>
        <w:t>Eight factors pass these gates. Process candidates by descending absolute Mean Rank IC. Demote a candidate when its absolute mean weekly correlation with any retained candidate is at least 0.85. intraday_return correlates approximately 0.870 with ret_1d and 0.925 with body_range_ratio, so it becomes a correlated alternative. Seven priority factors remain.</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6"/>
        <w:gridCol w:w="2556"/>
        <w:gridCol w:w="2556"/>
        <w:gridCol w:w="2556"/>
      </w:tblGrid>
      <w:tr w14:paraId="0C9838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0996E911">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Factor</w:t>
            </w:r>
          </w:p>
        </w:tc>
        <w:tc>
          <w:tcPr>
            <w:tcW w:w="2556" w:type="dxa"/>
          </w:tcPr>
          <w:p w14:paraId="2B1B01B5">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Mean Rank IC</w:t>
            </w:r>
          </w:p>
        </w:tc>
        <w:tc>
          <w:tcPr>
            <w:tcW w:w="2556" w:type="dxa"/>
          </w:tcPr>
          <w:p w14:paraId="658E74FF">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Rank ICIR</w:t>
            </w:r>
          </w:p>
        </w:tc>
        <w:tc>
          <w:tcPr>
            <w:tcW w:w="2556" w:type="dxa"/>
          </w:tcPr>
          <w:p w14:paraId="6DE88A65">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Annual agreement</w:t>
            </w:r>
          </w:p>
        </w:tc>
      </w:tr>
      <w:tr w14:paraId="6ACD085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50F0D1E1">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revenue_growth_yoy</w:t>
            </w:r>
          </w:p>
        </w:tc>
        <w:tc>
          <w:tcPr>
            <w:tcW w:w="2556" w:type="dxa"/>
          </w:tcPr>
          <w:p w14:paraId="2A47B904">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0.0268</w:t>
            </w:r>
          </w:p>
        </w:tc>
        <w:tc>
          <w:tcPr>
            <w:tcW w:w="2556" w:type="dxa"/>
          </w:tcPr>
          <w:p w14:paraId="493E4AA1">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0.141</w:t>
            </w:r>
          </w:p>
        </w:tc>
        <w:tc>
          <w:tcPr>
            <w:tcW w:w="2556" w:type="dxa"/>
          </w:tcPr>
          <w:p w14:paraId="25E8DD78">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7/9</w:t>
            </w:r>
          </w:p>
        </w:tc>
      </w:tr>
      <w:tr w14:paraId="2D35751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434FC22B">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ret_120d</w:t>
            </w:r>
          </w:p>
        </w:tc>
        <w:tc>
          <w:tcPr>
            <w:tcW w:w="2556" w:type="dxa"/>
          </w:tcPr>
          <w:p w14:paraId="7EF617F3">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0.0226</w:t>
            </w:r>
          </w:p>
        </w:tc>
        <w:tc>
          <w:tcPr>
            <w:tcW w:w="2556" w:type="dxa"/>
          </w:tcPr>
          <w:p w14:paraId="1C09E938">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0.100</w:t>
            </w:r>
          </w:p>
        </w:tc>
        <w:tc>
          <w:tcPr>
            <w:tcW w:w="2556" w:type="dxa"/>
          </w:tcPr>
          <w:p w14:paraId="0635EE16">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6/9</w:t>
            </w:r>
          </w:p>
        </w:tc>
      </w:tr>
      <w:tr w14:paraId="2F8C9ED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767AF068">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cashflow_to_assets</w:t>
            </w:r>
          </w:p>
        </w:tc>
        <w:tc>
          <w:tcPr>
            <w:tcW w:w="2556" w:type="dxa"/>
          </w:tcPr>
          <w:p w14:paraId="607F1DE1">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0.0225</w:t>
            </w:r>
          </w:p>
        </w:tc>
        <w:tc>
          <w:tcPr>
            <w:tcW w:w="2556" w:type="dxa"/>
          </w:tcPr>
          <w:p w14:paraId="619F32F2">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0.113</w:t>
            </w:r>
          </w:p>
        </w:tc>
        <w:tc>
          <w:tcPr>
            <w:tcW w:w="2556" w:type="dxa"/>
          </w:tcPr>
          <w:p w14:paraId="17F46740">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9/9</w:t>
            </w:r>
          </w:p>
        </w:tc>
      </w:tr>
      <w:tr w14:paraId="3F108AD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4F263CDB">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ret_1d</w:t>
            </w:r>
          </w:p>
        </w:tc>
        <w:tc>
          <w:tcPr>
            <w:tcW w:w="2556" w:type="dxa"/>
          </w:tcPr>
          <w:p w14:paraId="6DCEE356">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-0.0189</w:t>
            </w:r>
          </w:p>
        </w:tc>
        <w:tc>
          <w:tcPr>
            <w:tcW w:w="2556" w:type="dxa"/>
          </w:tcPr>
          <w:p w14:paraId="1F457A01">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-0.098</w:t>
            </w:r>
          </w:p>
        </w:tc>
        <w:tc>
          <w:tcPr>
            <w:tcW w:w="2556" w:type="dxa"/>
          </w:tcPr>
          <w:p w14:paraId="75A4F4CE">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7/9</w:t>
            </w:r>
          </w:p>
        </w:tc>
      </w:tr>
      <w:tr w14:paraId="302561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3BB0CCCD">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ret_5d</w:t>
            </w:r>
          </w:p>
        </w:tc>
        <w:tc>
          <w:tcPr>
            <w:tcW w:w="2556" w:type="dxa"/>
          </w:tcPr>
          <w:p w14:paraId="3CD91435">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-0.0172</w:t>
            </w:r>
          </w:p>
        </w:tc>
        <w:tc>
          <w:tcPr>
            <w:tcW w:w="2556" w:type="dxa"/>
          </w:tcPr>
          <w:p w14:paraId="2286854C">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-0.085</w:t>
            </w:r>
          </w:p>
        </w:tc>
        <w:tc>
          <w:tcPr>
            <w:tcW w:w="2556" w:type="dxa"/>
          </w:tcPr>
          <w:p w14:paraId="78466F81">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7/9</w:t>
            </w:r>
          </w:p>
        </w:tc>
      </w:tr>
      <w:tr w14:paraId="7EBF0E8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326D9123">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close_location_value</w:t>
            </w:r>
          </w:p>
        </w:tc>
        <w:tc>
          <w:tcPr>
            <w:tcW w:w="2556" w:type="dxa"/>
          </w:tcPr>
          <w:p w14:paraId="193B7280">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-0.0166</w:t>
            </w:r>
          </w:p>
        </w:tc>
        <w:tc>
          <w:tcPr>
            <w:tcW w:w="2556" w:type="dxa"/>
          </w:tcPr>
          <w:p w14:paraId="2113F5BB">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-0.098</w:t>
            </w:r>
          </w:p>
        </w:tc>
        <w:tc>
          <w:tcPr>
            <w:tcW w:w="2556" w:type="dxa"/>
          </w:tcPr>
          <w:p w14:paraId="525D4836">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7/9</w:t>
            </w:r>
          </w:p>
        </w:tc>
      </w:tr>
      <w:tr w14:paraId="72F01A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56" w:type="dxa"/>
          </w:tcPr>
          <w:p w14:paraId="6F747AE0">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body_range_ratio</w:t>
            </w:r>
          </w:p>
        </w:tc>
        <w:tc>
          <w:tcPr>
            <w:tcW w:w="2556" w:type="dxa"/>
          </w:tcPr>
          <w:p w14:paraId="6D2798E6">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-0.0163</w:t>
            </w:r>
          </w:p>
        </w:tc>
        <w:tc>
          <w:tcPr>
            <w:tcW w:w="2556" w:type="dxa"/>
          </w:tcPr>
          <w:p w14:paraId="66A7140E">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-0.092</w:t>
            </w:r>
          </w:p>
        </w:tc>
        <w:tc>
          <w:tcPr>
            <w:tcW w:w="2556" w:type="dxa"/>
          </w:tcPr>
          <w:p w14:paraId="4DE5898A">
            <w:pPr>
              <w:spacing w:before="60" w:after="60"/>
              <w:rPr>
                <w:rFonts w:hint="default" w:ascii="Times New Roman" w:hAnsi="Times New Roman" w:cs="Times New Roman"/>
                <w:color w:val="376092" w:themeColor="accent1" w:themeShade="BF"/>
              </w:rPr>
            </w:pPr>
            <w:r>
              <w:rPr>
                <w:rFonts w:hint="default" w:ascii="Times New Roman" w:hAnsi="Times New Roman" w:cs="Times New Roman"/>
                <w:color w:val="376092" w:themeColor="accent1" w:themeShade="BF"/>
                <w:sz w:val="19"/>
              </w:rPr>
              <w:t>7/9</w:t>
            </w:r>
          </w:p>
        </w:tc>
      </w:tr>
    </w:tbl>
    <w:p w14:paraId="5E5D3858">
      <w:pPr>
        <w:rPr>
          <w:rFonts w:hint="default" w:ascii="Times New Roman" w:hAnsi="Times New Roman" w:cs="Times New Roman"/>
        </w:rPr>
      </w:pPr>
      <w:r>
        <w:rPr>
          <w:rFonts w:hint="default" w:ascii="Times New Roman" w:hAnsi="Times New Roman" w:cs="Times New Roman"/>
        </w:rPr>
        <w:t>The shortlist contains two fundamental and five technical factors, with 30 alternatives. Non-priority factors with absolute Mean Rank IC of at least 0.005 are general alternatives; those below 0.005 are weak-signal alternatives. Correlated alternatives form a separate category. Negative signals remain eligible, and model inputs keep their original values.</w:t>
      </w:r>
    </w:p>
    <w:p w14:paraId="0B835C91">
      <w:pPr>
        <w:rPr>
          <w:rFonts w:hint="default" w:ascii="Times New Roman" w:hAnsi="Times New Roman" w:cs="Times New Roman"/>
        </w:rPr>
      </w:pP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7050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4465B"/>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4465B"/>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1629</Words>
  <Characters>5184</Characters>
  <Lines>0</Lines>
  <Paragraphs>0</Paragraphs>
  <TotalTime>1</TotalTime>
  <ScaleCrop>false</ScaleCrop>
  <LinksUpToDate>false</LinksUpToDate>
  <CharactersWithSpaces>5727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Mr.Brightside</cp:lastModifiedBy>
  <dcterms:modified xsi:type="dcterms:W3CDTF">2026-10-07T11:37:40Z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eyJoZGlkIjoiNzI1MzljODBiNDliMzEyMzFlZWNlN2EzYjU0N2YzMWEiLCJ1c2VySWQiOiIxMDU5NTg3NDcwIn0=</vt:lpwstr>
  </property>
  <property fmtid="{D5CDD505-2E9C-101B-9397-08002B2CF9AE}" pid="3" name="KSOProductBuildVer">
    <vt:lpwstr>2052-12.1.0.28505</vt:lpwstr>
  </property>
  <property fmtid="{D5CDD505-2E9C-101B-9397-08002B2CF9AE}" pid="4" name="ICV">
    <vt:lpwstr>41AEF2C828464EEC84C1FBC7F57B47AA_12</vt:lpwstr>
  </property>
</Properties>
</file>