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jc w:val="center"/>
      </w:pPr>
      <w:r>
        <w:rPr>
          <w:rFonts w:ascii="Arial" w:hAnsi="Arial" w:eastAsia="宋体"/>
          <w:b/>
          <w:color w:val="17365D"/>
          <w:sz w:val="36"/>
        </w:rPr>
        <w:t>Supplementary Material for cfRNA-BrainTrace</w:t>
      </w:r>
    </w:p>
    <w:p>
      <w:pPr>
        <w:spacing w:after="360"/>
        <w:jc w:val="center"/>
      </w:pPr>
      <w:r>
        <w:rPr>
          <w:rFonts w:ascii="宋体" w:hAnsi="宋体" w:eastAsia="宋体"/>
          <w:b/>
          <w:color w:val="365F91"/>
          <w:sz w:val="28"/>
        </w:rPr>
        <w:t>Extended methods, validation and claim boundaries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line="276" w:lineRule="auto" w:after="0"/>
            </w:pPr>
            <w:r>
              <w:rPr>
                <w:rFonts w:ascii="Arial" w:hAnsi="Arial" w:eastAsia="宋体"/>
                <w:b/>
                <w:sz w:val="19"/>
              </w:rPr>
              <w:t>Manuscript status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 w:eastAsia="宋体"/>
                <w:b w:val="0"/>
                <w:sz w:val="19"/>
              </w:rPr>
              <w:t>Application Note supplementary material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line="276" w:lineRule="auto" w:after="0"/>
            </w:pPr>
            <w:r>
              <w:rPr>
                <w:rFonts w:ascii="Arial" w:hAnsi="Arial" w:eastAsia="宋体"/>
                <w:b/>
                <w:sz w:val="19"/>
              </w:rPr>
              <w:t>Primary endpoint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 w:eastAsia="宋体"/>
                <w:b w:val="0"/>
                <w:sz w:val="19"/>
              </w:rPr>
              <w:t>Supporting analyses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line="276" w:lineRule="auto" w:after="0"/>
            </w:pPr>
            <w:r>
              <w:rPr>
                <w:rFonts w:ascii="Arial" w:hAnsi="Arial" w:eastAsia="宋体"/>
                <w:b/>
                <w:sz w:val="19"/>
              </w:rPr>
              <w:t>Claim boundary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 w:eastAsia="宋体"/>
                <w:b w:val="0"/>
                <w:sz w:val="19"/>
              </w:rPr>
              <w:t>Not part of the four-page main text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宋体"/>
          <w:b/>
          <w:color w:val="1F4E79"/>
          <w:sz w:val="32"/>
        </w:rPr>
        <w:t>Supplementary Methods</w:t>
      </w:r>
    </w:p>
    <w:p>
      <w:pPr>
        <w:pStyle w:val="Heading2"/>
      </w:pPr>
      <w:r>
        <w:rPr>
          <w:rFonts w:ascii="Arial" w:hAnsi="Arial" w:eastAsia="宋体"/>
          <w:b/>
          <w:color w:val="2F75B5"/>
          <w:sz w:val="28"/>
        </w:rPr>
        <w:t>S1 Reference atlas and anatomical hierarchy</w:t>
      </w:r>
    </w:p>
    <w:p>
      <w:pPr>
        <w:spacing w:line="480" w:lineRule="auto" w:after="120"/>
        <w:ind w:firstLine="360"/>
        <w:jc w:val="both"/>
      </w:pPr>
      <w:r>
        <w:rPr>
          <w:rFonts w:ascii="Times New Roman" w:hAnsi="Times New Roman" w:eastAsia="宋体"/>
          <w:sz w:val="24"/>
        </w:rPr>
        <w:t>The Bo2023 reference contains 819 macaque brain RNA-seq samples from nine individuals, covering 110 annotated regions. Regions were mapped to lobe, broad anatomy and 10 Saleem-style Networks. The reference does not contain cerebellum; cerebellar and posterior-fossa samples are out of scope at the Network level.</w:t>
      </w:r>
    </w:p>
    <w:p>
      <w:pPr>
        <w:pStyle w:val="Heading2"/>
      </w:pPr>
      <w:r>
        <w:rPr>
          <w:rFonts w:ascii="Arial" w:hAnsi="Arial" w:eastAsia="宋体"/>
          <w:b/>
          <w:color w:val="2F75B5"/>
          <w:sz w:val="28"/>
        </w:rPr>
        <w:t>S2 Locked Network model</w:t>
      </w:r>
    </w:p>
    <w:p>
      <w:pPr>
        <w:spacing w:line="480" w:lineRule="auto" w:after="120"/>
        <w:ind w:firstLine="360"/>
        <w:jc w:val="both"/>
      </w:pPr>
      <w:r>
        <w:rPr>
          <w:rFonts w:ascii="Times New Roman" w:hAnsi="Times New Roman" w:eastAsia="宋体"/>
          <w:sz w:val="24"/>
        </w:rPr>
        <w:t>Within each source-domain validation fold, 200 discriminative genes were selected without using the held-out sample. Pearson correlation between the aligned sample vector and class centroids produced the primary ranking. A pairwise rescue model re-ranked the three leading classes when the Top1-Top2 margin was no greater than 0.002. The threshold was selected retrospectively and requires independent confirmation.</w:t>
      </w:r>
    </w:p>
    <w:p>
      <w:pPr>
        <w:pStyle w:val="Heading2"/>
      </w:pPr>
      <w:r>
        <w:rPr>
          <w:rFonts w:ascii="Arial" w:hAnsi="Arial" w:eastAsia="宋体"/>
          <w:b/>
          <w:color w:val="2F75B5"/>
          <w:sz w:val="28"/>
        </w:rPr>
        <w:t>S3 External input scale</w:t>
      </w:r>
    </w:p>
    <w:p>
      <w:pPr>
        <w:spacing w:line="480" w:lineRule="auto" w:after="120"/>
        <w:ind w:firstLine="360"/>
        <w:jc w:val="both"/>
      </w:pPr>
      <w:r>
        <w:rPr>
          <w:rFonts w:ascii="Times New Roman" w:hAnsi="Times New Roman" w:eastAsia="宋体"/>
          <w:sz w:val="24"/>
        </w:rPr>
        <w:t xml:space="preserve">External TPM-like expression is transformed with </w:t>
      </w:r>
      <w:r>
        <w:rPr>
          <w:rFonts w:ascii="Consolas" w:hAnsi="Consolas" w:eastAsia="宋体"/>
          <w:sz w:val="20"/>
        </w:rPr>
        <w:t>log1p</w:t>
      </w:r>
      <w:r>
        <w:rPr>
          <w:rFonts w:ascii="Times New Roman" w:hAnsi="Times New Roman" w:eastAsia="宋体"/>
          <w:sz w:val="24"/>
        </w:rPr>
        <w:t xml:space="preserve"> and correlated with the Bo2023 variance-stabilized reference. Pearson correlation removes linear shifts and scaling but does not remove non-linear distribution differences, zero inflation, batch effects or sample-type effects. External analyses are therefore described as cross-scale correlation stress tests.</w:t>
      </w:r>
    </w:p>
    <w:p>
      <w:pPr>
        <w:pStyle w:val="Heading2"/>
      </w:pPr>
      <w:r>
        <w:rPr>
          <w:rFonts w:ascii="Arial" w:hAnsi="Arial" w:eastAsia="宋体"/>
          <w:b/>
          <w:color w:val="2F75B5"/>
          <w:sz w:val="28"/>
        </w:rPr>
        <w:t>S4 Anatomical truth policy</w:t>
      </w:r>
    </w:p>
    <w:p>
      <w:pPr>
        <w:spacing w:line="480" w:lineRule="auto" w:after="120"/>
        <w:ind w:firstLine="360"/>
        <w:jc w:val="both"/>
      </w:pPr>
      <w:r>
        <w:rPr>
          <w:rFonts w:ascii="Times New Roman" w:hAnsi="Times New Roman" w:eastAsia="宋体"/>
          <w:sz w:val="24"/>
        </w:rPr>
        <w:t>Accuracy was calculated only when labels were defined independently of expression predictions. For TCGA-LGG/BraTS, tumor masks were compared with directly overlapping valid atlas labels. Unbounded nearest-neighbour filling was excluded because it artificially expanded deep white-matter labels. Strict evaluation used the dominant direct-overlap label; tolerant evaluation accepted prespecified directly overlapping alternatives.</w:t>
      </w:r>
    </w:p>
    <w:p>
      <w:pPr>
        <w:pStyle w:val="Heading2"/>
      </w:pPr>
      <w:r>
        <w:rPr>
          <w:rFonts w:ascii="Arial" w:hAnsi="Arial" w:eastAsia="宋体"/>
          <w:b/>
          <w:color w:val="2F75B5"/>
          <w:sz w:val="28"/>
        </w:rPr>
        <w:t>S5 Exploratory adaptation</w:t>
      </w:r>
    </w:p>
    <w:p>
      <w:pPr>
        <w:spacing w:line="480" w:lineRule="auto" w:after="120"/>
        <w:ind w:firstLine="360"/>
        <w:jc w:val="both"/>
      </w:pPr>
      <w:r>
        <w:rPr>
          <w:rFonts w:ascii="Times New Roman" w:hAnsi="Times New Roman" w:eastAsia="宋体"/>
          <w:sz w:val="24"/>
        </w:rPr>
        <w:t>Tumor-state filtering, rank-based quantile harmonization and class-prior calibration were evaluated only as sensitivity analyses. Harmonization using target-cohort distributions was transductive; MRI-label-informed calibration was cohort-internal. The implemented rank mapping was not tie-aware and could assign equal zero-valued markers to different quantiles. These routes were excluded from the locked workflow.</w:t>
      </w:r>
    </w:p>
    <w:p>
      <w:pPr>
        <w:pStyle w:val="Heading1"/>
      </w:pPr>
      <w:r>
        <w:rPr>
          <w:rFonts w:ascii="Arial" w:hAnsi="Arial" w:eastAsia="宋体"/>
          <w:b/>
          <w:color w:val="1F4E79"/>
          <w:sz w:val="32"/>
        </w:rPr>
        <w:t>Supplementary Results</w:t>
      </w:r>
    </w:p>
    <w:p>
      <w:pPr>
        <w:pStyle w:val="Heading2"/>
      </w:pPr>
      <w:r>
        <w:rPr>
          <w:rFonts w:ascii="Arial" w:hAnsi="Arial" w:eastAsia="宋体"/>
          <w:b/>
          <w:color w:val="2F75B5"/>
          <w:sz w:val="28"/>
        </w:rPr>
        <w:t>S1 Internal validation</w:t>
      </w:r>
    </w:p>
    <w:p>
      <w:pPr>
        <w:spacing w:line="480" w:lineRule="auto" w:after="120"/>
        <w:ind w:firstLine="360"/>
        <w:jc w:val="both"/>
      </w:pPr>
      <w:r>
        <w:rPr>
          <w:rFonts w:ascii="Times New Roman" w:hAnsi="Times New Roman" w:eastAsia="宋体"/>
          <w:sz w:val="24"/>
        </w:rPr>
        <w:t>Strict leave-one-sample-out Network Top1 and Top3 accuracy were 55.8% and 88.0%. Leave-one-monkey-out Top1 and Top3 accuracy were 53.2% and 86.7%. Finer region-group and exact-region outputs were less stable and remain secondary or exploratory.</w:t>
      </w:r>
    </w:p>
    <w:p>
      <w:pPr>
        <w:pStyle w:val="Heading2"/>
      </w:pPr>
      <w:r>
        <w:rPr>
          <w:rFonts w:ascii="Arial" w:hAnsi="Arial" w:eastAsia="宋体"/>
          <w:b/>
          <w:color w:val="2F75B5"/>
          <w:sz w:val="28"/>
        </w:rPr>
        <w:t>S2 Normal human brain transfer</w:t>
      </w:r>
    </w:p>
    <w:p>
      <w:pPr>
        <w:spacing w:line="480" w:lineRule="auto" w:after="120"/>
        <w:ind w:firstLine="360"/>
        <w:jc w:val="both"/>
      </w:pPr>
      <w:r>
        <w:rPr>
          <w:rFonts w:ascii="Times New Roman" w:hAnsi="Times New Roman" w:eastAsia="宋体"/>
          <w:sz w:val="24"/>
        </w:rPr>
        <w:t>Among 233 AHBA samples with harmonized coarse labels, Network Top1 and Top3 accuracy were 32.6% and 55.4%; lobe Top1 accuracy was 44.2%. Among 91 exact-mapped samples, exact-region Top1 and Top3 accuracy were 9.9% and 29.7%. Fine localization was therefore not treated as a validated endpoint.</w:t>
      </w:r>
    </w:p>
    <w:p>
      <w:pPr>
        <w:pStyle w:val="Heading2"/>
      </w:pPr>
      <w:r>
        <w:rPr>
          <w:rFonts w:ascii="Arial" w:hAnsi="Arial" w:eastAsia="宋体"/>
          <w:b/>
          <w:color w:val="2F75B5"/>
          <w:sz w:val="28"/>
        </w:rPr>
        <w:t>S3 Paired glioma transcriptome-MRI evaluation</w:t>
      </w:r>
    </w:p>
    <w:p>
      <w:pPr>
        <w:spacing w:line="480" w:lineRule="auto" w:after="120"/>
        <w:ind w:firstLine="360"/>
        <w:jc w:val="both"/>
      </w:pPr>
      <w:r>
        <w:rPr>
          <w:rFonts w:ascii="Times New Roman" w:hAnsi="Times New Roman" w:eastAsia="宋体"/>
          <w:sz w:val="24"/>
        </w:rPr>
        <w:t>In 65 paired TCGA-LGG/BraTS patients, lobe Top3 strict/tolerant coverage was 84.6%/89.2% and broad-anatomy Top3 coverage was 75.4%/83.1%. Among 64 Network-evaluable patients, Network Top3 was 21.9%/35.9%. One cerebellar tumor was excluded from the Network denominator because it was outside the reference space.</w:t>
      </w:r>
    </w:p>
    <w:p>
      <w:pPr>
        <w:pStyle w:val="Heading2"/>
      </w:pPr>
      <w:r>
        <w:rPr>
          <w:rFonts w:ascii="Arial" w:hAnsi="Arial" w:eastAsia="宋体"/>
          <w:b/>
          <w:color w:val="2F75B5"/>
          <w:sz w:val="28"/>
        </w:rPr>
        <w:t>S4 Liquid-biopsy transfer stress tests</w:t>
      </w:r>
    </w:p>
    <w:p>
      <w:pPr>
        <w:spacing w:line="480" w:lineRule="auto" w:after="120"/>
        <w:ind w:firstLine="360"/>
        <w:jc w:val="both"/>
      </w:pPr>
      <w:r>
        <w:rPr>
          <w:rFonts w:ascii="Times New Roman" w:hAnsi="Times New Roman" w:eastAsia="宋体"/>
          <w:sz w:val="24"/>
        </w:rPr>
        <w:t>GSE228512 comprised 85 GBM and 31 healthy serum EV-RNA samples. GSE106804 comprised 13 GBM and six healthy tumor-associated EV-capture samples. GSE189919 comprised 40 medulloblastoma and 11 normal CSF-RNA samples. None contained patient-level anatomical imaging truth.</w:t>
      </w:r>
    </w:p>
    <w:p>
      <w:pPr>
        <w:spacing w:line="480" w:lineRule="auto" w:after="120"/>
        <w:ind w:firstLine="360"/>
        <w:jc w:val="both"/>
      </w:pPr>
      <w:r>
        <w:rPr>
          <w:rFonts w:ascii="Times New Roman" w:hAnsi="Times New Roman" w:eastAsia="宋体"/>
          <w:sz w:val="24"/>
        </w:rPr>
        <w:t>GSE228512 predictions were dominated by Subcortical outputs in both GBM and healthy samples. Tumor-associated EV capture in GSE106804 reduced single-class dominance but also reduced margins and produced only 21.1% Top1 agreement across adapted preprocessing routes. In GSE189919, all 67 numerical audit checks passed and locked-baseline Top1 agreement between TPM and count-derived CPM was 87.5% in medulloblastoma and 90.9% in controls; nevertheless, probabilities remained near uniform and normalized entropy was nearly maximal. These cohorts establish technical executability and domain mismatch, not localization accuracy.</w:t>
      </w:r>
    </w:p>
    <w:p>
      <w:pPr>
        <w:pStyle w:val="Heading2"/>
      </w:pPr>
      <w:r>
        <w:rPr>
          <w:rFonts w:ascii="Arial" w:hAnsi="Arial" w:eastAsia="宋体"/>
          <w:b/>
          <w:color w:val="2F75B5"/>
          <w:sz w:val="28"/>
        </w:rPr>
        <w:t>S5 Adaptation sensitivity</w:t>
      </w:r>
    </w:p>
    <w:p>
      <w:pPr>
        <w:spacing w:line="480" w:lineRule="auto" w:after="120"/>
        <w:ind w:firstLine="360"/>
        <w:jc w:val="both"/>
      </w:pPr>
      <w:r>
        <w:rPr>
          <w:rFonts w:ascii="Times New Roman" w:hAnsi="Times New Roman" w:eastAsia="宋体"/>
          <w:sz w:val="24"/>
        </w:rPr>
        <w:t>Unsupervised harmonization increased tolerant Network Top1 from 4.7% to 20.3% and Network Top3 from 35.9% to 48.4%, but reduced tolerant broad-anatomy Top3 from 83.1% to 60.0%. Cohort-calibrated harmonization produced 20.3% Network Top1, 46.9% Network Top3 and 70.8% broad-anatomy Top3. Adapted preprocessing was not stable across independent EV-RNA and CSF-RNA representations. The locked baseline therefore remained the sole production route.</w:t>
      </w:r>
    </w:p>
    <w:p>
      <w:pPr>
        <w:pStyle w:val="Heading1"/>
      </w:pPr>
      <w:r>
        <w:rPr>
          <w:rFonts w:ascii="Arial" w:hAnsi="Arial" w:eastAsia="宋体"/>
          <w:b/>
          <w:color w:val="1F4E79"/>
          <w:sz w:val="32"/>
        </w:rPr>
        <w:t>Supplementary Figures</w:t>
      </w:r>
    </w:p>
    <w:p>
      <w:pPr>
        <w:pStyle w:val="ListBullet"/>
        <w:spacing w:line="480" w:lineRule="auto"/>
      </w:pPr>
      <w:r>
        <w:rPr>
          <w:rFonts w:ascii="Times New Roman" w:hAnsi="Times New Roman" w:eastAsia="宋体"/>
          <w:b/>
          <w:sz w:val="24"/>
        </w:rPr>
        <w:t>Figure S1.</w:t>
      </w:r>
      <w:r>
        <w:rPr>
          <w:rFonts w:ascii="Times New Roman" w:hAnsi="Times New Roman" w:eastAsia="宋体"/>
          <w:sz w:val="24"/>
        </w:rPr>
        <w:t xml:space="preserve"> Detailed internal validation across anatomical resolutions.</w:t>
      </w:r>
    </w:p>
    <w:p>
      <w:pPr>
        <w:pStyle w:val="ListBullet"/>
        <w:spacing w:line="480" w:lineRule="auto"/>
      </w:pPr>
      <w:r>
        <w:rPr>
          <w:rFonts w:ascii="Times New Roman" w:hAnsi="Times New Roman" w:eastAsia="宋体"/>
          <w:b/>
          <w:sz w:val="24"/>
        </w:rPr>
        <w:t>Figure S2.</w:t>
      </w:r>
      <w:r>
        <w:rPr>
          <w:rFonts w:ascii="Times New Roman" w:hAnsi="Times New Roman" w:eastAsia="宋体"/>
          <w:sz w:val="24"/>
        </w:rPr>
        <w:t xml:space="preserve"> Pairwise-rescue threshold and switch audit.</w:t>
      </w:r>
    </w:p>
    <w:p>
      <w:pPr>
        <w:pStyle w:val="ListBullet"/>
        <w:spacing w:line="480" w:lineRule="auto"/>
      </w:pPr>
      <w:r>
        <w:rPr>
          <w:rFonts w:ascii="Times New Roman" w:hAnsi="Times New Roman" w:eastAsia="宋体"/>
          <w:b/>
          <w:sz w:val="24"/>
        </w:rPr>
        <w:t>Figure S3.</w:t>
      </w:r>
      <w:r>
        <w:rPr>
          <w:rFonts w:ascii="Times New Roman" w:hAnsi="Times New Roman" w:eastAsia="宋体"/>
          <w:sz w:val="24"/>
        </w:rPr>
        <w:t xml:space="preserve"> AHBA cross-species validation and fine-resolution limitations.</w:t>
      </w:r>
    </w:p>
    <w:p>
      <w:pPr>
        <w:pStyle w:val="ListBullet"/>
        <w:spacing w:line="480" w:lineRule="auto"/>
      </w:pPr>
      <w:r>
        <w:rPr>
          <w:rFonts w:ascii="Times New Roman" w:hAnsi="Times New Roman" w:eastAsia="宋体"/>
          <w:b/>
          <w:sz w:val="24"/>
        </w:rPr>
        <w:t>Figure S4.</w:t>
      </w:r>
      <w:r>
        <w:rPr>
          <w:rFonts w:ascii="Times New Roman" w:hAnsi="Times New Roman" w:eastAsia="宋体"/>
          <w:sz w:val="24"/>
        </w:rPr>
        <w:t xml:space="preserve"> Glioma and liquid-biopsy transfer diagnostics.</w:t>
      </w:r>
    </w:p>
    <w:p>
      <w:pPr>
        <w:pStyle w:val="ListBullet"/>
        <w:spacing w:line="480" w:lineRule="auto"/>
      </w:pPr>
      <w:r>
        <w:rPr>
          <w:rFonts w:ascii="Times New Roman" w:hAnsi="Times New Roman" w:eastAsia="宋体"/>
          <w:b/>
          <w:sz w:val="24"/>
        </w:rPr>
        <w:t>Figure S5.</w:t>
      </w:r>
      <w:r>
        <w:rPr>
          <w:rFonts w:ascii="Times New Roman" w:hAnsi="Times New Roman" w:eastAsia="宋体"/>
          <w:sz w:val="24"/>
        </w:rPr>
        <w:t xml:space="preserve"> Exploratory adaptation sensitivity.</w:t>
      </w:r>
    </w:p>
    <w:p>
      <w:pPr>
        <w:pStyle w:val="Heading1"/>
      </w:pPr>
      <w:r>
        <w:rPr>
          <w:rFonts w:ascii="Arial" w:hAnsi="Arial" w:eastAsia="宋体"/>
          <w:b/>
          <w:color w:val="1F4E79"/>
          <w:sz w:val="32"/>
        </w:rPr>
        <w:t>Supplementary Tables</w:t>
      </w:r>
    </w:p>
    <w:p>
      <w:pPr>
        <w:pStyle w:val="ListBullet"/>
        <w:spacing w:line="480" w:lineRule="auto"/>
      </w:pPr>
      <w:r>
        <w:rPr>
          <w:rFonts w:ascii="Times New Roman" w:hAnsi="Times New Roman" w:eastAsia="宋体"/>
          <w:b/>
          <w:sz w:val="24"/>
        </w:rPr>
        <w:t>Table S1.</w:t>
      </w:r>
      <w:r>
        <w:rPr>
          <w:rFonts w:ascii="Times New Roman" w:hAnsi="Times New Roman" w:eastAsia="宋体"/>
          <w:sz w:val="24"/>
        </w:rPr>
        <w:t xml:space="preserve"> Datasets, sample sizes, label availability and analysis roles.</w:t>
      </w:r>
    </w:p>
    <w:p>
      <w:pPr>
        <w:pStyle w:val="ListBullet"/>
        <w:spacing w:line="480" w:lineRule="auto"/>
      </w:pPr>
      <w:r>
        <w:rPr>
          <w:rFonts w:ascii="Times New Roman" w:hAnsi="Times New Roman" w:eastAsia="宋体"/>
          <w:b/>
          <w:sz w:val="24"/>
        </w:rPr>
        <w:t>Table S2.</w:t>
      </w:r>
      <w:r>
        <w:rPr>
          <w:rFonts w:ascii="Times New Roman" w:hAnsi="Times New Roman" w:eastAsia="宋体"/>
          <w:sz w:val="24"/>
        </w:rPr>
        <w:t xml:space="preserve"> Internal validation metrics with confidence intervals.</w:t>
      </w:r>
    </w:p>
    <w:p>
      <w:pPr>
        <w:pStyle w:val="ListBullet"/>
        <w:spacing w:line="480" w:lineRule="auto"/>
      </w:pPr>
      <w:r>
        <w:rPr>
          <w:rFonts w:ascii="Times New Roman" w:hAnsi="Times New Roman" w:eastAsia="宋体"/>
          <w:b/>
          <w:sz w:val="24"/>
        </w:rPr>
        <w:t>Table S3.</w:t>
      </w:r>
      <w:r>
        <w:rPr>
          <w:rFonts w:ascii="Times New Roman" w:hAnsi="Times New Roman" w:eastAsia="宋体"/>
          <w:sz w:val="24"/>
        </w:rPr>
        <w:t xml:space="preserve"> External validation metrics.</w:t>
      </w:r>
    </w:p>
    <w:p>
      <w:pPr>
        <w:pStyle w:val="ListBullet"/>
        <w:spacing w:line="480" w:lineRule="auto"/>
      </w:pPr>
      <w:r>
        <w:rPr>
          <w:rFonts w:ascii="Times New Roman" w:hAnsi="Times New Roman" w:eastAsia="宋体"/>
          <w:b/>
          <w:sz w:val="24"/>
        </w:rPr>
        <w:t>Table S4.</w:t>
      </w:r>
      <w:r>
        <w:rPr>
          <w:rFonts w:ascii="Times New Roman" w:hAnsi="Times New Roman" w:eastAsia="宋体"/>
          <w:sz w:val="24"/>
        </w:rPr>
        <w:t xml:space="preserve"> Domain-adaptation sensitivity analysis.</w:t>
      </w:r>
    </w:p>
    <w:p>
      <w:pPr>
        <w:pStyle w:val="ListBullet"/>
        <w:spacing w:line="480" w:lineRule="auto"/>
      </w:pPr>
      <w:r>
        <w:rPr>
          <w:rFonts w:ascii="Times New Roman" w:hAnsi="Times New Roman" w:eastAsia="宋体"/>
          <w:b/>
          <w:sz w:val="24"/>
        </w:rPr>
        <w:t>Table S5.</w:t>
      </w:r>
      <w:r>
        <w:rPr>
          <w:rFonts w:ascii="Times New Roman" w:hAnsi="Times New Roman" w:eastAsia="宋体"/>
          <w:sz w:val="24"/>
        </w:rPr>
        <w:t xml:space="preserve"> Liquid-biopsy transfer stress tests.</w:t>
      </w:r>
    </w:p>
    <w:p>
      <w:pPr>
        <w:pStyle w:val="Heading1"/>
      </w:pPr>
      <w:r>
        <w:rPr>
          <w:rFonts w:ascii="Arial" w:hAnsi="Arial" w:eastAsia="宋体"/>
          <w:b/>
          <w:color w:val="1F4E79"/>
          <w:sz w:val="32"/>
        </w:rPr>
        <w:t>Submission checklist items</w:t>
      </w:r>
    </w:p>
    <w:p>
      <w:pPr>
        <w:pStyle w:val="ListBullet"/>
        <w:spacing w:line="480" w:lineRule="auto"/>
      </w:pPr>
      <w:r>
        <w:rPr>
          <w:rFonts w:ascii="Times New Roman" w:hAnsi="Times New Roman" w:eastAsia="宋体"/>
          <w:sz w:val="24"/>
        </w:rPr>
        <w:t>Replace all public repository, archive, live-app, licence, author, affiliation, contact and funding placeholders.</w:t>
      </w:r>
    </w:p>
    <w:p>
      <w:pPr>
        <w:pStyle w:val="ListBullet"/>
        <w:spacing w:line="480" w:lineRule="auto"/>
      </w:pPr>
      <w:r>
        <w:rPr>
          <w:rFonts w:ascii="Times New Roman" w:hAnsi="Times New Roman" w:eastAsia="宋体"/>
          <w:sz w:val="24"/>
        </w:rPr>
        <w:t>Create an immutable tagged release and archive it with a DOI.</w:t>
      </w:r>
    </w:p>
    <w:p>
      <w:pPr>
        <w:pStyle w:val="ListBullet"/>
        <w:spacing w:line="480" w:lineRule="auto"/>
      </w:pPr>
      <w:r>
        <w:rPr>
          <w:rFonts w:ascii="Times New Roman" w:hAnsi="Times New Roman" w:eastAsia="宋体"/>
          <w:sz w:val="24"/>
        </w:rPr>
        <w:t>Ensure example data and tests run without private files.</w:t>
      </w:r>
    </w:p>
    <w:p>
      <w:pPr>
        <w:pStyle w:val="ListBullet"/>
        <w:spacing w:line="480" w:lineRule="auto"/>
      </w:pPr>
      <w:r>
        <w:rPr>
          <w:rFonts w:ascii="Times New Roman" w:hAnsi="Times New Roman" w:eastAsia="宋体"/>
          <w:sz w:val="24"/>
        </w:rPr>
        <w:t>Upload the main figure as a separate high-resolution file and all supplementary figures/tables as one supplementary PDF or journal-supported package.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  <w:lnNumType w:countBy="1" w:restart="newPage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宋体"/>
        <w:color w:val="666666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Arial" w:hAnsi="Arial" w:eastAsia="宋体"/>
        <w:b/>
        <w:color w:val="6B7280"/>
        <w:sz w:val="18"/>
      </w:rPr>
      <w:t>BIOINFORMATICS | APPLICATION NOTE SUPPLEMENT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48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 for cfRNA-BrainTrace</dc:title>
  <dc:subject>Bioinformatics Original Paper bilingual Draft A</dc:subject>
  <dc:creator/>
  <cp:keywords>cfRNA; RNA-seq; brain origin; macaque transcriptome; Network</cp:keywords>
  <dc:description>Supplementary material for cfRNA-BrainTrace Application Note, 2026-06-14.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