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Hei"/>
          <w:b/>
          <w:color w:val="17365D"/>
          <w:sz w:val="30"/>
        </w:rPr>
        <w:t>cfRNA-BrainTrace：基于灵长类转录组图谱的 RNA-seq 分层脑来源推断</w:t>
      </w:r>
    </w:p>
    <w:p>
      <w:pPr>
        <w:jc w:val="both"/>
      </w:pPr>
      <w:r>
        <w:rPr>
          <w:rFonts w:ascii="Arial" w:hAnsi="Arial" w:eastAsia="SimSun"/>
          <w:b/>
          <w:sz w:val="21"/>
        </w:rPr>
        <w:t>文章类型：</w:t>
      </w:r>
      <w:r>
        <w:rPr>
          <w:rFonts w:ascii="Arial" w:hAnsi="Arial" w:eastAsia="SimSun"/>
          <w:sz w:val="21"/>
        </w:rPr>
        <w:t xml:space="preserve"> Application Note</w:t>
      </w:r>
    </w:p>
    <w:p>
      <w:pPr>
        <w:jc w:val="both"/>
      </w:pPr>
      <w:r>
        <w:rPr>
          <w:rFonts w:ascii="Arial" w:hAnsi="Arial" w:eastAsia="SimSun"/>
          <w:b/>
          <w:sz w:val="21"/>
        </w:rPr>
        <w:t>栏目：</w:t>
      </w:r>
      <w:r>
        <w:rPr>
          <w:rFonts w:ascii="Arial" w:hAnsi="Arial" w:eastAsia="SimSun"/>
          <w:sz w:val="21"/>
        </w:rPr>
        <w:t xml:space="preserve"> Gene expression</w:t>
      </w:r>
    </w:p>
    <w:p>
      <w:pPr>
        <w:jc w:val="both"/>
      </w:pPr>
      <w:r>
        <w:rPr>
          <w:rFonts w:ascii="Arial" w:hAnsi="Arial" w:eastAsia="SimSun"/>
          <w:b/>
          <w:sz w:val="21"/>
        </w:rPr>
        <w:t>作者与单位：</w:t>
      </w:r>
      <w:r>
        <w:rPr>
          <w:rFonts w:ascii="Arial" w:hAnsi="Arial" w:eastAsia="SimSun"/>
          <w:sz w:val="21"/>
        </w:rPr>
        <w:t xml:space="preserve"> 作者信息将在投稿系统中提供</w:t>
      </w:r>
    </w:p>
    <w:p>
      <w:pPr>
        <w:jc w:val="both"/>
      </w:pPr>
      <w:r>
        <w:rPr>
          <w:rFonts w:ascii="Arial" w:hAnsi="Arial" w:eastAsia="SimSun"/>
          <w:b/>
          <w:sz w:val="21"/>
        </w:rPr>
        <w:t>通讯作者：</w:t>
      </w:r>
      <w:r>
        <w:rPr>
          <w:rFonts w:ascii="Arial" w:hAnsi="Arial" w:eastAsia="SimSun"/>
          <w:sz w:val="21"/>
        </w:rPr>
        <w:t xml:space="preserve"> 通讯作者信息将在投稿系统中提供</w:t>
      </w:r>
    </w:p>
    <w:p>
      <w:pPr>
        <w:pStyle w:val="Heading1"/>
      </w:pPr>
      <w:r>
        <w:rPr>
          <w:rFonts w:ascii="Arial" w:hAnsi="Arial" w:eastAsia="SimHei"/>
          <w:sz w:val="25"/>
        </w:rPr>
        <w:t>摘要</w:t>
      </w:r>
    </w:p>
    <w:p>
      <w:pPr>
        <w:pStyle w:val="Heading2"/>
      </w:pPr>
      <w:r>
        <w:rPr>
          <w:rFonts w:ascii="Arial" w:hAnsi="Arial" w:eastAsia="SimHei"/>
          <w:sz w:val="21"/>
        </w:rPr>
        <w:t>Summary</w:t>
      </w:r>
    </w:p>
    <w:p>
      <w:pPr>
        <w:jc w:val="both"/>
      </w:pPr>
      <w:r>
        <w:rPr>
          <w:rFonts w:ascii="Arial" w:hAnsi="Arial" w:eastAsia="SimSun"/>
          <w:sz w:val="21"/>
        </w:rPr>
        <w:t>cfRNA-BrainTrace 是一个 Python 与 Streamlit 应用，用于从 RNA 表达谱中进行分层脑来源候选排序。正式路线只在 Network Top3 beam 生成阶段使用 projected-VSD 表达，随后回到 logCPM 兼容表达空间进行 resolution-group 和 exact-region 重排序。软件同时报告解剖分辨率、置信度和适用边界，避免把稳定的粗粒度信号误写成确定性 exact-region 定位。</w:t>
      </w:r>
    </w:p>
    <w:p>
      <w:pPr>
        <w:pStyle w:val="Heading2"/>
      </w:pPr>
      <w:r>
        <w:rPr>
          <w:rFonts w:ascii="Arial" w:hAnsi="Arial" w:eastAsia="SimHei"/>
          <w:sz w:val="21"/>
        </w:rPr>
        <w:t>Availability and Implementation</w:t>
      </w:r>
    </w:p>
    <w:p>
      <w:pPr>
        <w:jc w:val="both"/>
      </w:pPr>
      <w:r>
        <w:rPr>
          <w:rFonts w:ascii="Arial" w:hAnsi="Arial" w:eastAsia="SimSun"/>
          <w:sz w:val="21"/>
        </w:rPr>
        <w:t xml:space="preserve">软件基于 Python 3.11+ 实现，支持命令行和 Streamlit 网页界面。源码托管于开发仓库 </w:t>
      </w:r>
      <w:r>
        <w:rPr>
          <w:rFonts w:ascii="Arial" w:hAnsi="Arial" w:eastAsia="SimSun"/>
          <w:b/>
          <w:sz w:val="21"/>
        </w:rPr>
        <w:t>https://github.com/wz7717/cfrna-brain-tracing</w:t>
      </w:r>
      <w:r>
        <w:rPr>
          <w:rFonts w:ascii="Arial" w:hAnsi="Arial" w:eastAsia="SimSun"/>
          <w:sz w:val="21"/>
        </w:rPr>
        <w:t>。最终投稿包将配套公开版本、归档 DOI、许可证声明和在线服务地址。</w:t>
      </w:r>
    </w:p>
    <w:p>
      <w:pPr>
        <w:pStyle w:val="Heading2"/>
      </w:pPr>
      <w:r>
        <w:rPr>
          <w:rFonts w:ascii="Arial" w:hAnsi="Arial" w:eastAsia="SimHei"/>
          <w:sz w:val="21"/>
        </w:rPr>
        <w:t>Contact</w:t>
      </w:r>
    </w:p>
    <w:p>
      <w:pPr>
        <w:jc w:val="both"/>
      </w:pPr>
      <w:r>
        <w:rPr>
          <w:rFonts w:ascii="Arial" w:hAnsi="Arial" w:eastAsia="SimSun"/>
          <w:sz w:val="21"/>
        </w:rPr>
        <w:t>通讯作者联系方式将在投稿系统中提供。</w:t>
      </w:r>
    </w:p>
    <w:p>
      <w:pPr>
        <w:pStyle w:val="Heading2"/>
      </w:pPr>
      <w:r>
        <w:rPr>
          <w:rFonts w:ascii="Arial" w:hAnsi="Arial" w:eastAsia="SimHei"/>
          <w:sz w:val="21"/>
        </w:rPr>
        <w:t>Supplementary information</w:t>
      </w:r>
    </w:p>
    <w:p>
      <w:pPr>
        <w:jc w:val="both"/>
      </w:pPr>
      <w:r>
        <w:rPr>
          <w:rFonts w:ascii="Arial" w:hAnsi="Arial" w:eastAsia="SimSun"/>
          <w:sz w:val="21"/>
        </w:rPr>
        <w:t>补充材料在线提供。</w:t>
      </w:r>
    </w:p>
    <w:p>
      <w:pPr>
        <w:pStyle w:val="Heading1"/>
      </w:pPr>
      <w:r>
        <w:rPr>
          <w:rFonts w:ascii="Arial" w:hAnsi="Arial" w:eastAsia="SimHei"/>
          <w:sz w:val="25"/>
        </w:rPr>
        <w:t>正文</w:t>
      </w:r>
    </w:p>
    <w:p>
      <w:pPr>
        <w:pStyle w:val="Heading2"/>
      </w:pPr>
      <w:r>
        <w:rPr>
          <w:rFonts w:ascii="Arial" w:hAnsi="Arial" w:eastAsia="SimHei"/>
          <w:sz w:val="21"/>
        </w:rPr>
        <w:t>研究动机</w:t>
      </w:r>
    </w:p>
    <w:p>
      <w:pPr>
        <w:jc w:val="both"/>
      </w:pPr>
      <w:r>
        <w:rPr>
          <w:rFonts w:ascii="Arial" w:hAnsi="Arial" w:eastAsia="SimSun"/>
          <w:sz w:val="21"/>
        </w:rPr>
        <w:t>RNA 表达谱可能保留组织来源信息，但脑内溯源受到相邻脑区转录相似性、图谱粒度以及组织、肿瘤和 biofluid 样本域偏移的限制。对于 atlas-based brain RNA tracing，一个粗粒度候选可能较稳定，但 exact-region localization 未必成立。如果只输出单一 exact-region 标签，容易暗示数据并不支持的解剖分辨率。cfRNA-BrainTrace 因此返回 Network、resolution group 和 exact region 三个层级的候选结果，并同步给出置信度、覆盖度和适用范围诊断。</w:t>
      </w:r>
    </w:p>
    <w:p>
      <w:pPr>
        <w:pStyle w:val="Heading2"/>
      </w:pPr>
      <w:r>
        <w:rPr>
          <w:rFonts w:ascii="Arial" w:hAnsi="Arial" w:eastAsia="SimHei"/>
          <w:sz w:val="21"/>
        </w:rPr>
        <w:t>系统与方法</w:t>
      </w:r>
    </w:p>
    <w:p>
      <w:pPr>
        <w:jc w:val="both"/>
      </w:pPr>
      <w:r>
        <w:rPr>
          <w:rFonts w:ascii="Arial" w:hAnsi="Arial" w:eastAsia="SimSun"/>
          <w:sz w:val="21"/>
        </w:rPr>
        <w:t>正式路线来自三组验证现象。第一，projected-VSD query representation 对 broad Network candidate generation 最稳定。第二，直接在 projected-VSD 空间做 exact-region scoring 并不总是优于 native VSD 或 logCPM-based alternatives。第三，在 Network beam 内进行 local reranking 能提高下游解剖层级的解释性。因此最终路线是一个 hybrid procedure，而不是单一表达尺度上的 classifier。</w:t>
      </w:r>
    </w:p>
    <w:p>
      <w:pPr>
        <w:jc w:val="both"/>
      </w:pPr>
      <w:r>
        <w:rPr>
          <w:rFonts w:ascii="Arial" w:hAnsi="Arial" w:eastAsia="SimSun"/>
          <w:sz w:val="21"/>
        </w:rPr>
        <w:t xml:space="preserve">在实际操作中，cfRNA-BrainTrace 先将上传表达表标准化为 logCPM/logTPM 兼容空间，并与参考基因面板对齐。随后 query 被投影到 Bo2023-like VSD 空间，仅用于 10-class Network scoring。Top3 Networks 构成 candidate beam，beam 之外的候选脑区不进入下游 regional ranking。在保留的 beam 内，resolution group 使用 logCPM 兼容的局部表达空间重排序，exact region 再作为较低置信度的局部候选排序输出。该路线使用 Bo2023 猕猴脑转录组参考，但不把整个 atlas 转换成新的 projected atlas。主线实现位于 </w:t>
      </w:r>
      <w:r>
        <w:rPr>
          <w:rFonts w:ascii="Consolas" w:hAnsi="Consolas" w:eastAsia="SimSun"/>
          <w:sz w:val="21"/>
        </w:rPr>
        <w:t>core/network_tracing.py</w:t>
      </w:r>
      <w:r>
        <w:rPr>
          <w:rFonts w:ascii="Arial" w:hAnsi="Arial" w:eastAsia="SimSun"/>
          <w:sz w:val="21"/>
        </w:rPr>
        <w:t xml:space="preserve"> 和 </w:t>
      </w:r>
      <w:r>
        <w:rPr>
          <w:rFonts w:ascii="Consolas" w:hAnsi="Consolas" w:eastAsia="SimSun"/>
          <w:sz w:val="21"/>
        </w:rPr>
        <w:t>core/bo2023_region_tracing.py</w:t>
      </w:r>
      <w:r>
        <w:rPr>
          <w:rFonts w:ascii="Arial" w:hAnsi="Arial" w:eastAsia="SimSun"/>
          <w:sz w:val="21"/>
        </w:rPr>
        <w:t>，命令行和 Streamlit 调用同一评分核心。</w:t>
      </w:r>
    </w:p>
    <w:p>
      <w:pPr>
        <w:pStyle w:val="Heading2"/>
      </w:pPr>
      <w:r>
        <w:rPr>
          <w:rFonts w:ascii="Arial" w:hAnsi="Arial" w:eastAsia="SimHei"/>
          <w:sz w:val="21"/>
        </w:rPr>
        <w:t>验证与输出</w:t>
      </w:r>
    </w:p>
    <w:p>
      <w:pPr>
        <w:jc w:val="both"/>
      </w:pPr>
      <w:r>
        <w:rPr>
          <w:rFonts w:ascii="Arial" w:hAnsi="Arial" w:eastAsia="SimSun"/>
          <w:sz w:val="21"/>
        </w:rPr>
        <w:t>验证设计与软件路线保持一致。首先在 Network 层测试 projected-VSD query 是否适合作为 broad candidate beam。在 fold-local leave-one-sample-out Network 验证中，projected VSD 的 Top1/Top3 为 58.00%/91.58%，高于 logCPM baseline 和 native VSD。在 strict leave-one-monkey-out 验证中，projected VSD 达到 53.72%/91.33%。相比之下，direct exact-region projected-VSD scoring 并非在所有设置中最优，尤其在 LOMO 中不如 native VSD，因此 exact-region scoring 没有被设置为唯一 endpoint。</w:t>
      </w:r>
    </w:p>
    <w:p>
      <w:pPr>
        <w:jc w:val="both"/>
      </w:pPr>
      <w:r>
        <w:rPr>
          <w:rFonts w:ascii="Arial" w:hAnsi="Arial" w:eastAsia="SimSun"/>
          <w:sz w:val="21"/>
        </w:rPr>
        <w:t>随后对完整正式三级路线进行端到端验证：projected-VSD Network Top3 beam generation，logCPM-compatible resolution-group reranking，以及 logCPM-compatible exact-region reranking。该路线在 LOSO 中的 Network Top3 为 92.38%，在 LOMO 中为 91.21%。Resolution-group Top3 分别为 72.36% 和 69.09%，而 exact-region Top3 分别为 45.33% 和 42.36%。这种随解剖分辨率升高而下降的准确率梯度支持把 Network Top3 作为主 endpoint，把 resolution group 作为更稳健的 region-level 输出；exact-region 结果保留为探索性局部候选排序，而不是确定性定位。</w:t>
      </w:r>
    </w:p>
    <w:p>
      <w:pPr>
        <w:jc w:val="both"/>
      </w:pPr>
      <w:r>
        <w:rPr>
          <w:rFonts w:ascii="Arial" w:hAnsi="Arial" w:eastAsia="SimSun"/>
          <w:sz w:val="21"/>
        </w:rPr>
        <w:t>外部分析按照标签能支持的分辨率解释。Allen Human Brain Atlas 映射标签验证中，hybrid 路线的 Network Top1/Top3 为 74.68%/94.42%，resolution-group Top1/Top3 为 36.26%/67.03%，exact Top1/Top3 为 24.18%/42.86%；hybrid exact Top3 高于 logCPM baseline 和 projected-VSD-only，支持“projected VSD 用于 broad beam、logCPM 用于 local reranking”的路线选择。TCGA/BraTS glioma tissue RNA-seq + MRI label 只支持 coarse anatomical consistency，因为 MRI 真值是人脑 atlas 标签，而不是 Bo2023 猕猴 exact-region ID。在该数据集中，hybrid Network Top3 为 40.00%，broad-anatomy Top3 为 64.62%。GSE189919 用于验证 projection feasibility，而不是 accuracy，因为缺少可计算 brain-origin accuracy 的解剖真值。</w:t>
      </w:r>
    </w:p>
    <w:p>
      <w:pPr>
        <w:pStyle w:val="Heading2"/>
      </w:pPr>
      <w:r>
        <w:rPr>
          <w:rFonts w:ascii="Arial" w:hAnsi="Arial" w:eastAsia="SimHei"/>
          <w:sz w:val="21"/>
        </w:rPr>
        <w:t>使用边界</w:t>
      </w:r>
    </w:p>
    <w:p>
      <w:pPr>
        <w:jc w:val="both"/>
      </w:pPr>
      <w:r>
        <w:rPr>
          <w:rFonts w:ascii="Arial" w:hAnsi="Arial" w:eastAsia="SimSun"/>
          <w:sz w:val="21"/>
        </w:rPr>
        <w:t>软件导出 ranked candidates、matched-gene coverage、entropy、margin、route identifier 和 resolution-specific warning。只有在存在独立解剖真值时才计算 accuracy。无标签 biofluid 预测作为 transfer stress test 或假设生成候选排序报告，而不是临床定位。最终 release package 计划包含非商业访问、测试数据、稳定 URL、版本化源码和归档 DOI。</w:t>
      </w:r>
    </w:p>
    <w:p>
      <w:pPr>
        <w:pStyle w:val="Heading1"/>
      </w:pPr>
      <w:r>
        <w:rPr>
          <w:rFonts w:ascii="Arial" w:hAnsi="Arial" w:eastAsia="SimHei"/>
          <w:sz w:val="25"/>
        </w:rPr>
        <w:t>Funding</w:t>
      </w:r>
    </w:p>
    <w:p>
      <w:pPr>
        <w:jc w:val="both"/>
      </w:pPr>
      <w:r>
        <w:rPr>
          <w:rFonts w:ascii="Arial" w:hAnsi="Arial" w:eastAsia="SimSun"/>
          <w:sz w:val="21"/>
        </w:rPr>
        <w:t>基金信息将在投稿系统中声明。</w:t>
      </w:r>
    </w:p>
    <w:p>
      <w:pPr>
        <w:pStyle w:val="Heading1"/>
      </w:pPr>
      <w:r>
        <w:rPr>
          <w:rFonts w:ascii="Arial" w:hAnsi="Arial" w:eastAsia="SimHei"/>
          <w:sz w:val="25"/>
        </w:rPr>
        <w:t>Conflict of Interest</w:t>
      </w:r>
    </w:p>
    <w:p>
      <w:pPr>
        <w:jc w:val="both"/>
      </w:pPr>
      <w:r>
        <w:rPr>
          <w:rFonts w:ascii="Arial" w:hAnsi="Arial" w:eastAsia="SimSun"/>
          <w:sz w:val="21"/>
        </w:rPr>
        <w:t>无。</w:t>
      </w:r>
    </w:p>
    <w:p>
      <w:pPr>
        <w:pStyle w:val="Heading1"/>
      </w:pPr>
      <w:r>
        <w:rPr>
          <w:rFonts w:ascii="Arial" w:hAnsi="Arial" w:eastAsia="SimHei"/>
          <w:sz w:val="25"/>
        </w:rPr>
        <w:t>Data availability</w:t>
      </w:r>
    </w:p>
    <w:p>
      <w:pPr>
        <w:jc w:val="both"/>
      </w:pPr>
      <w:r>
        <w:rPr>
          <w:rFonts w:ascii="Arial" w:hAnsi="Arial" w:eastAsia="SimSun"/>
          <w:sz w:val="21"/>
        </w:rPr>
        <w:t>Bo2023 猕猴脑转录组图谱、Allen Human Brain Atlas、TCGA/BraTS 和 GEO 数据集均可从原始仓库获取，并受其原始访问条件约束。可公开的 processed evaluation tables 和 figure source data 已按带版本的公开 release 与归档准备。</w:t>
      </w:r>
    </w:p>
    <w:p>
      <w:pPr>
        <w:pStyle w:val="Heading1"/>
      </w:pPr>
      <w:r>
        <w:rPr>
          <w:rFonts w:ascii="Arial" w:hAnsi="Arial" w:eastAsia="SimHei"/>
          <w:sz w:val="25"/>
        </w:rPr>
        <w:t>References</w:t>
      </w:r>
    </w:p>
    <w:p>
      <w:pPr>
        <w:jc w:val="both"/>
      </w:pPr>
      <w:r>
        <w:rPr>
          <w:rFonts w:ascii="Arial" w:hAnsi="Arial" w:eastAsia="SimSun"/>
          <w:sz w:val="21"/>
        </w:rPr>
        <w:t xml:space="preserve">Bakas,S. </w:t>
      </w:r>
      <w:r>
        <w:rPr>
          <w:rFonts w:ascii="Arial" w:hAnsi="Arial" w:eastAsia="SimSun"/>
          <w:i/>
          <w:sz w:val="21"/>
        </w:rPr>
        <w:t>et al.</w:t>
      </w:r>
      <w:r>
        <w:rPr>
          <w:rFonts w:ascii="Arial" w:hAnsi="Arial" w:eastAsia="SimSun"/>
          <w:sz w:val="21"/>
        </w:rPr>
        <w:t xml:space="preserve"> (2017) Advancing The Cancer Genome Atlas glioma MRI collections with expert segmentation labels and radiomic features. </w:t>
      </w:r>
      <w:r>
        <w:rPr>
          <w:rFonts w:ascii="Arial" w:hAnsi="Arial" w:eastAsia="SimSun"/>
          <w:i/>
          <w:sz w:val="21"/>
        </w:rPr>
        <w:t>Sci. Data</w:t>
      </w:r>
      <w:r>
        <w:rPr>
          <w:rFonts w:ascii="Arial" w:hAnsi="Arial" w:eastAsia="SimSun"/>
          <w:sz w:val="21"/>
        </w:rPr>
        <w:t xml:space="preserve">, </w:t>
      </w:r>
      <w:r>
        <w:rPr>
          <w:rFonts w:ascii="Arial" w:hAnsi="Arial" w:eastAsia="SimSun"/>
          <w:b/>
          <w:sz w:val="21"/>
        </w:rPr>
        <w:t>4</w:t>
      </w:r>
      <w:r>
        <w:rPr>
          <w:rFonts w:ascii="Arial" w:hAnsi="Arial" w:eastAsia="SimSun"/>
          <w:sz w:val="21"/>
        </w:rPr>
        <w:t>, 170117.</w:t>
      </w:r>
    </w:p>
    <w:p>
      <w:pPr>
        <w:jc w:val="both"/>
      </w:pPr>
      <w:r>
        <w:rPr>
          <w:rFonts w:ascii="Arial" w:hAnsi="Arial" w:eastAsia="SimSun"/>
          <w:sz w:val="21"/>
        </w:rPr>
        <w:t xml:space="preserve">Bo,T. </w:t>
      </w:r>
      <w:r>
        <w:rPr>
          <w:rFonts w:ascii="Arial" w:hAnsi="Arial" w:eastAsia="SimSun"/>
          <w:i/>
          <w:sz w:val="21"/>
        </w:rPr>
        <w:t>et al.</w:t>
      </w:r>
      <w:r>
        <w:rPr>
          <w:rFonts w:ascii="Arial" w:hAnsi="Arial" w:eastAsia="SimSun"/>
          <w:sz w:val="21"/>
        </w:rPr>
        <w:t xml:space="preserve"> (2023) Brain-wide and cell-specific transcriptomic insights into MRI-derived cortical morphology in macaque monkeys. </w:t>
      </w:r>
      <w:r>
        <w:rPr>
          <w:rFonts w:ascii="Arial" w:hAnsi="Arial" w:eastAsia="SimSun"/>
          <w:i/>
          <w:sz w:val="21"/>
        </w:rPr>
        <w:t>Nat. Commun.</w:t>
      </w:r>
      <w:r>
        <w:rPr>
          <w:rFonts w:ascii="Arial" w:hAnsi="Arial" w:eastAsia="SimSun"/>
          <w:sz w:val="21"/>
        </w:rPr>
        <w:t xml:space="preserve">, </w:t>
      </w:r>
      <w:r>
        <w:rPr>
          <w:rFonts w:ascii="Arial" w:hAnsi="Arial" w:eastAsia="SimSun"/>
          <w:b/>
          <w:sz w:val="21"/>
        </w:rPr>
        <w:t>14</w:t>
      </w:r>
      <w:r>
        <w:rPr>
          <w:rFonts w:ascii="Arial" w:hAnsi="Arial" w:eastAsia="SimSun"/>
          <w:sz w:val="21"/>
        </w:rPr>
        <w:t>, 1283.</w:t>
      </w:r>
    </w:p>
    <w:p>
      <w:pPr>
        <w:jc w:val="both"/>
      </w:pPr>
      <w:r>
        <w:rPr>
          <w:rFonts w:ascii="Arial" w:hAnsi="Arial" w:eastAsia="SimSun"/>
          <w:sz w:val="21"/>
        </w:rPr>
        <w:t xml:space="preserve">Hawrylycz,M.J. </w:t>
      </w:r>
      <w:r>
        <w:rPr>
          <w:rFonts w:ascii="Arial" w:hAnsi="Arial" w:eastAsia="SimSun"/>
          <w:i/>
          <w:sz w:val="21"/>
        </w:rPr>
        <w:t>et al.</w:t>
      </w:r>
      <w:r>
        <w:rPr>
          <w:rFonts w:ascii="Arial" w:hAnsi="Arial" w:eastAsia="SimSun"/>
          <w:sz w:val="21"/>
        </w:rPr>
        <w:t xml:space="preserve"> (2012) An anatomically comprehensive atlas of the adult human brain transcriptome. </w:t>
      </w:r>
      <w:r>
        <w:rPr>
          <w:rFonts w:ascii="Arial" w:hAnsi="Arial" w:eastAsia="SimSun"/>
          <w:i/>
          <w:sz w:val="21"/>
        </w:rPr>
        <w:t>Nature</w:t>
      </w:r>
      <w:r>
        <w:rPr>
          <w:rFonts w:ascii="Arial" w:hAnsi="Arial" w:eastAsia="SimSun"/>
          <w:sz w:val="21"/>
        </w:rPr>
        <w:t xml:space="preserve">, </w:t>
      </w:r>
      <w:r>
        <w:rPr>
          <w:rFonts w:ascii="Arial" w:hAnsi="Arial" w:eastAsia="SimSun"/>
          <w:b/>
          <w:sz w:val="21"/>
        </w:rPr>
        <w:t>489</w:t>
      </w:r>
      <w:r>
        <w:rPr>
          <w:rFonts w:ascii="Arial" w:hAnsi="Arial" w:eastAsia="SimSun"/>
          <w:sz w:val="21"/>
        </w:rPr>
        <w:t>, 391-399.</w:t>
      </w:r>
    </w:p>
    <w:p>
      <w:pPr>
        <w:jc w:val="both"/>
      </w:pPr>
      <w:r>
        <w:rPr>
          <w:rFonts w:ascii="Arial" w:hAnsi="Arial" w:eastAsia="SimSun"/>
          <w:sz w:val="21"/>
        </w:rPr>
        <w:t xml:space="preserve">Vorperian,S.K. </w:t>
      </w:r>
      <w:r>
        <w:rPr>
          <w:rFonts w:ascii="Arial" w:hAnsi="Arial" w:eastAsia="SimSun"/>
          <w:i/>
          <w:sz w:val="21"/>
        </w:rPr>
        <w:t>et al.</w:t>
      </w:r>
      <w:r>
        <w:rPr>
          <w:rFonts w:ascii="Arial" w:hAnsi="Arial" w:eastAsia="SimSun"/>
          <w:sz w:val="21"/>
        </w:rPr>
        <w:t xml:space="preserve"> (2022) Cell types of origin of the cell-free transcriptome. </w:t>
      </w:r>
      <w:r>
        <w:rPr>
          <w:rFonts w:ascii="Arial" w:hAnsi="Arial" w:eastAsia="SimSun"/>
          <w:i/>
          <w:sz w:val="21"/>
        </w:rPr>
        <w:t>Nat. Biotechnol.</w:t>
      </w:r>
      <w:r>
        <w:rPr>
          <w:rFonts w:ascii="Arial" w:hAnsi="Arial" w:eastAsia="SimSun"/>
          <w:sz w:val="21"/>
        </w:rPr>
        <w:t xml:space="preserve">, </w:t>
      </w:r>
      <w:r>
        <w:rPr>
          <w:rFonts w:ascii="Arial" w:hAnsi="Arial" w:eastAsia="SimSun"/>
          <w:b/>
          <w:sz w:val="21"/>
        </w:rPr>
        <w:t>40</w:t>
      </w:r>
      <w:r>
        <w:rPr>
          <w:rFonts w:ascii="Arial" w:hAnsi="Arial" w:eastAsia="SimSun"/>
          <w:sz w:val="21"/>
        </w:rPr>
        <w:t>, 855-861.</w:t>
      </w:r>
    </w:p>
    <w:p>
      <w:r>
        <w:br w:type="page"/>
      </w:r>
    </w:p>
    <w:p>
      <w:pPr>
        <w:pStyle w:val="Heading1"/>
      </w:pPr>
      <w:r>
        <w:t>图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572000"/>
            <wp:docPr id="1" name="Picture 1" title="Figure 1. cfRNA-BrainTrace three-tier route and validation evidence" descr="Workflow and bar chart summarizing three-tier validation resul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cfRNA_BrainTrace_Bioinformatics_low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 w:eastAsia="SimSun"/>
          <w:b/>
          <w:sz w:val="21"/>
        </w:rPr>
        <w:t>图 1. cfRNA-BrainTrace 三级路线与验证证据。</w:t>
      </w:r>
      <w:r>
        <w:rPr>
          <w:rFonts w:ascii="Arial" w:hAnsi="Arial" w:eastAsia="SimSun"/>
          <w:sz w:val="21"/>
        </w:rPr>
        <w:t xml:space="preserve"> query 只在 Network Top3 beam 阶段投影到 Bo2023-like VSD 空间；下游 resolution-group 与 exact-region reranking 在 logCPM 兼容的局部表达空间中完成。内部验证支持 LOSO 和 LOMO 设置下较高的 Network Top3 accuracy，同时 resolution-group accuracy 持续高于 exact-region accuracy。AHBA 支持 mapped-label 外部验证，而 TCGA/BraTS 只支持 coarse anatomical consistency。</w:t>
      </w:r>
    </w:p>
    <w:p>
      <w:pPr>
        <w:jc w:val="left"/>
      </w:pPr>
      <w:r>
        <w:rPr>
          <w:rFonts w:ascii="Arial" w:hAnsi="Arial" w:eastAsia="SimSun"/>
          <w:b/>
          <w:sz w:val="21"/>
        </w:rPr>
        <w:t>Alt text：</w:t>
      </w:r>
      <w:r>
        <w:rPr>
          <w:rFonts w:ascii="Arial" w:hAnsi="Arial" w:eastAsia="SimSun"/>
          <w:sz w:val="21"/>
        </w:rPr>
        <w:t xml:space="preserve"> 多面板图概述 cfRNA-BrainTrace 工作流与验证结果。流程图显示 query 预处理、projected-VSD Network Top3 beam 生成和 logCPM 局部重排序。柱状图显示内部验证 Network Top3 接近 92%，resolution-group Top3 约 69%-72%，exact-region Top3 约 42%-45%。外部面板显示 AHBA Network Top3 为 94.42%，TCGA/BraTS broad-anatomy Top3 为 64.62%。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cfRNA-BrainTrace Bioinformatics Application Note 中文投稿稿</dc:title>
  <dc:subject>Application Note</dc:subject>
  <dc:creator>python-docx</dc:creator>
  <cp:keywords/>
  <dc:description>Built against Bioinformatics Application Note constraints on 2026-06-19.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