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7365D"/>
          <w:sz w:val="30"/>
        </w:rPr>
        <w:t>cfRNA-BrainTrace: hierarchical brain-origin candidate ranking from RNA expression profiles with a primate transcriptomic atlas</w:t>
      </w:r>
    </w:p>
    <w:p>
      <w:pPr>
        <w:jc w:val="both"/>
      </w:pPr>
      <w:r>
        <w:rPr>
          <w:rFonts w:ascii="Arial" w:hAnsi="Arial" w:eastAsia="Arial"/>
          <w:b/>
          <w:sz w:val="19"/>
        </w:rPr>
        <w:t>Article type:</w:t>
      </w:r>
      <w:r>
        <w:rPr>
          <w:rFonts w:ascii="Arial" w:hAnsi="Arial" w:eastAsia="Arial"/>
          <w:sz w:val="19"/>
        </w:rPr>
        <w:t xml:space="preserve"> Application Note</w:t>
      </w:r>
    </w:p>
    <w:p>
      <w:pPr>
        <w:jc w:val="both"/>
      </w:pPr>
      <w:r>
        <w:rPr>
          <w:rFonts w:ascii="Arial" w:hAnsi="Arial" w:eastAsia="Arial"/>
          <w:b/>
          <w:sz w:val="19"/>
        </w:rPr>
        <w:t>Category:</w:t>
      </w:r>
      <w:r>
        <w:rPr>
          <w:rFonts w:ascii="Arial" w:hAnsi="Arial" w:eastAsia="Arial"/>
          <w:sz w:val="19"/>
        </w:rPr>
        <w:t xml:space="preserve"> Gene expression</w:t>
      </w:r>
    </w:p>
    <w:p>
      <w:pPr>
        <w:jc w:val="both"/>
      </w:pPr>
      <w:r>
        <w:rPr>
          <w:rFonts w:ascii="Arial" w:hAnsi="Arial" w:eastAsia="Arial"/>
          <w:b/>
          <w:sz w:val="19"/>
        </w:rPr>
        <w:t>Authors and affiliations:</w:t>
      </w:r>
      <w:r>
        <w:rPr>
          <w:rFonts w:ascii="Arial" w:hAnsi="Arial" w:eastAsia="Arial"/>
          <w:sz w:val="19"/>
        </w:rPr>
        <w:t xml:space="preserve"> Author information to be supplied in the submission system</w:t>
      </w:r>
    </w:p>
    <w:p>
      <w:pPr>
        <w:jc w:val="both"/>
      </w:pPr>
      <w:r>
        <w:rPr>
          <w:rFonts w:ascii="Arial" w:hAnsi="Arial" w:eastAsia="Arial"/>
          <w:b/>
          <w:sz w:val="19"/>
        </w:rPr>
        <w:t>Corresponding author:</w:t>
      </w:r>
      <w:r>
        <w:rPr>
          <w:rFonts w:ascii="Arial" w:hAnsi="Arial" w:eastAsia="Arial"/>
          <w:sz w:val="19"/>
        </w:rPr>
        <w:t xml:space="preserve"> [CORRESPONDING AUTHOR EMAIL REQUIRED BEFORE SUBMISSION]</w:t>
      </w:r>
    </w:p>
    <w:p>
      <w:pPr>
        <w:pStyle w:val="Heading1"/>
      </w:pPr>
      <w:r>
        <w:rPr>
          <w:rFonts w:ascii="Arial" w:hAnsi="Arial" w:eastAsia="Arial"/>
          <w:sz w:val="25"/>
        </w:rPr>
        <w:t>Abstract</w:t>
      </w:r>
    </w:p>
    <w:p>
      <w:pPr>
        <w:pStyle w:val="Heading2"/>
      </w:pPr>
      <w:r>
        <w:rPr>
          <w:rFonts w:ascii="Arial" w:hAnsi="Arial" w:eastAsia="Arial"/>
          <w:sz w:val="21"/>
        </w:rPr>
        <w:t>Summary</w:t>
      </w:r>
    </w:p>
    <w:p>
      <w:pPr>
        <w:jc w:val="both"/>
      </w:pPr>
      <w:r>
        <w:rPr>
          <w:rFonts w:ascii="Arial" w:hAnsi="Arial" w:eastAsia="Arial"/>
          <w:sz w:val="19"/>
        </w:rPr>
        <w:t>cfRNA-BrainTrace is a Python and Streamlit application for hierarchical brain-origin candidate ranking from RNA expression profiles. The locked route projects query profiles into a Bo2023-like variance-stabilized space to generate a broad 10-class macaque functional-anatomical Network Top3 beam, then uses logCPM-compatible local expression for resolution-group and exploratory exact-region reranking. The software reports ranked candidates, marker coverage, entropy, margins, route identifiers and scope warnings. In internal validation, Network Top3 accuracy reached 92.38% in leave-one-sample-out and 91.21% in leave-one-monkey-out evaluation, with lower accuracy at resolution-group and exact-region levels. AHBA mapped-label validation supported coarse cross-species transfer, whereas TCGA/BraTS and unlabeled biofluid analyses defined transfer limitations. cfRNA-BrainTrace is intended for reproducible coarse candidate ranking and resolution-limit auditing, not stand-alone clinical localization from unlabeled biofluid RNA.</w:t>
      </w:r>
    </w:p>
    <w:p>
      <w:pPr>
        <w:pStyle w:val="Heading2"/>
      </w:pPr>
      <w:r>
        <w:rPr>
          <w:rFonts w:ascii="Arial" w:hAnsi="Arial" w:eastAsia="Arial"/>
          <w:sz w:val="21"/>
        </w:rPr>
        <w:t>Availability and Implementation</w:t>
      </w:r>
    </w:p>
    <w:p>
      <w:pPr>
        <w:jc w:val="both"/>
      </w:pPr>
      <w:r>
        <w:rPr>
          <w:rFonts w:ascii="Arial" w:hAnsi="Arial" w:eastAsia="Arial"/>
          <w:sz w:val="19"/>
        </w:rPr>
        <w:t xml:space="preserve">Implemented in Python 3.11+ with command-line and Streamlit interfaces. The development repository is </w:t>
      </w:r>
      <w:r>
        <w:rPr>
          <w:rFonts w:ascii="Arial" w:hAnsi="Arial" w:eastAsia="Arial"/>
          <w:b/>
          <w:sz w:val="19"/>
        </w:rPr>
        <w:t>https://github.com/wz7717/cfrna-brain-tracing</w:t>
      </w:r>
      <w:r>
        <w:rPr>
          <w:rFonts w:ascii="Arial" w:hAnsi="Arial" w:eastAsia="Arial"/>
          <w:sz w:val="19"/>
        </w:rPr>
        <w:t xml:space="preserve"> and contains README documentation, installation instructions, a command-line entry point, Streamlit entry points, tests, lightweight model artifacts and validation/benchmark scripts. The manuscript version is archived at </w:t>
      </w:r>
      <w:r>
        <w:rPr>
          <w:rFonts w:ascii="Arial" w:hAnsi="Arial" w:eastAsia="Arial"/>
          <w:b/>
          <w:sz w:val="19"/>
        </w:rPr>
        <w:t>[ZENODO DOI REQUIRED BEFORE SUBMISSION]</w:t>
      </w:r>
      <w:r>
        <w:rPr>
          <w:rFonts w:ascii="Arial" w:hAnsi="Arial" w:eastAsia="Arial"/>
          <w:sz w:val="19"/>
        </w:rPr>
        <w:t xml:space="preserve">. A live demonstration is available at </w:t>
      </w:r>
      <w:r>
        <w:rPr>
          <w:rFonts w:ascii="Arial" w:hAnsi="Arial" w:eastAsia="Arial"/>
          <w:b/>
          <w:sz w:val="19"/>
        </w:rPr>
        <w:t>[STABLE WEB SERVICE URL REQUIRED BEFORE SUBMISSION]</w:t>
      </w:r>
      <w:r>
        <w:rPr>
          <w:rFonts w:ascii="Arial" w:hAnsi="Arial" w:eastAsia="Arial"/>
          <w:sz w:val="19"/>
        </w:rPr>
        <w:t xml:space="preserve">. The software is released under </w:t>
      </w:r>
      <w:r>
        <w:rPr>
          <w:rFonts w:ascii="Arial" w:hAnsi="Arial" w:eastAsia="Arial"/>
          <w:b/>
          <w:sz w:val="19"/>
        </w:rPr>
        <w:t>[LICENSE REQUIRED BEFORE SUBMISSION]</w:t>
      </w:r>
      <w:r>
        <w:rPr>
          <w:rFonts w:ascii="Arial" w:hAnsi="Arial" w:eastAsia="Arial"/>
          <w:sz w:val="19"/>
        </w:rPr>
        <w:t xml:space="preserve">. Public example input/output files are </w:t>
      </w:r>
      <w:r>
        <w:rPr>
          <w:rFonts w:ascii="Arial" w:hAnsi="Arial" w:eastAsia="Arial"/>
          <w:b/>
          <w:sz w:val="19"/>
        </w:rPr>
        <w:t>[EXAMPLE INPUT/OUTPUT REQUIRED BEFORE SUBMISSION]</w:t>
      </w:r>
      <w:r>
        <w:rPr>
          <w:rFonts w:ascii="Arial" w:hAnsi="Arial" w:eastAsia="Arial"/>
          <w:sz w:val="19"/>
        </w:rPr>
        <w:t>.</w:t>
      </w:r>
    </w:p>
    <w:p>
      <w:pPr>
        <w:pStyle w:val="Heading2"/>
      </w:pPr>
      <w:r>
        <w:rPr>
          <w:rFonts w:ascii="Arial" w:hAnsi="Arial" w:eastAsia="Arial"/>
          <w:sz w:val="21"/>
        </w:rPr>
        <w:t>Contact</w:t>
      </w:r>
    </w:p>
    <w:p>
      <w:pPr>
        <w:jc w:val="both"/>
      </w:pPr>
      <w:r>
        <w:rPr>
          <w:rFonts w:ascii="Arial" w:hAnsi="Arial" w:eastAsia="Arial"/>
          <w:b/>
          <w:sz w:val="19"/>
        </w:rPr>
        <w:t>[CORRESPONDING AUTHOR EMAIL REQUIRED BEFORE SUBMISSION]</w:t>
      </w:r>
    </w:p>
    <w:p>
      <w:pPr>
        <w:pStyle w:val="Heading2"/>
      </w:pPr>
      <w:r>
        <w:rPr>
          <w:rFonts w:ascii="Arial" w:hAnsi="Arial" w:eastAsia="Arial"/>
          <w:sz w:val="21"/>
        </w:rPr>
        <w:t>Supplementary information</w:t>
      </w:r>
    </w:p>
    <w:p>
      <w:pPr>
        <w:jc w:val="both"/>
      </w:pPr>
      <w:r>
        <w:rPr>
          <w:rFonts w:ascii="Arial" w:hAnsi="Arial" w:eastAsia="Arial"/>
          <w:sz w:val="19"/>
        </w:rPr>
        <w:t>Supplementary data are available online.</w:t>
      </w:r>
    </w:p>
    <w:p>
      <w:pPr>
        <w:pStyle w:val="Heading1"/>
      </w:pPr>
      <w:r>
        <w:rPr>
          <w:rFonts w:ascii="Arial" w:hAnsi="Arial" w:eastAsia="Arial"/>
          <w:sz w:val="25"/>
        </w:rPr>
        <w:t>Text</w:t>
      </w:r>
    </w:p>
    <w:p>
      <w:pPr>
        <w:pStyle w:val="Heading2"/>
      </w:pPr>
      <w:r>
        <w:rPr>
          <w:rFonts w:ascii="Arial" w:hAnsi="Arial" w:eastAsia="Arial"/>
          <w:sz w:val="21"/>
        </w:rPr>
        <w:t>Motivation</w:t>
      </w:r>
    </w:p>
    <w:p>
      <w:pPr>
        <w:jc w:val="both"/>
      </w:pPr>
      <w:r>
        <w:rPr>
          <w:rFonts w:ascii="Arial" w:hAnsi="Arial" w:eastAsia="Arial"/>
          <w:sz w:val="19"/>
        </w:rPr>
        <w:t>RNA expression profiles can retain tissue-of-origin information, but within-brain source tracing is limited by transcriptional similarity among neighbouring regions, atlas granularity and domain shifts between reference tissue, tumour tissue and biofluid RNA. These constraints are central to atlas-based brain RNA tracing: a stable broad candidate may be recoverable even when exact-region localization is not. A single exact-region output can therefore imply more anatomical resolution than the data support. cfRNA-BrainTrace addresses this problem by returning a hierarchy of Network, resolution-group and exact-region candidates together with confidence, coverage and scope diagnostics.</w:t>
      </w:r>
    </w:p>
    <w:p>
      <w:pPr>
        <w:pStyle w:val="Heading2"/>
      </w:pPr>
      <w:r>
        <w:rPr>
          <w:rFonts w:ascii="Arial" w:hAnsi="Arial" w:eastAsia="Arial"/>
          <w:sz w:val="21"/>
        </w:rPr>
        <w:t>System and methods</w:t>
      </w:r>
    </w:p>
    <w:p>
      <w:pPr>
        <w:jc w:val="both"/>
      </w:pPr>
      <w:r>
        <w:rPr>
          <w:rFonts w:ascii="Arial" w:hAnsi="Arial" w:eastAsia="Arial"/>
          <w:sz w:val="19"/>
        </w:rPr>
        <w:t>The locked production route was selected from validation evidence rather than from a single modelling assumption. First, projected variance-stabilized expression representation was consistently useful for broad Network candidate generation, where Network denotes the 10-class macaque functional-anatomical source space used by the Bo2023 reference. Second, direct exact-region scoring in projected-VSD space was not consistently superior to native or logCPM-based alternatives. Third, local reranking within the Network beam improved the interpretability of downstream anatomical outputs. The resulting default scoring route is therefore a hybrid route: projected-VSD expression is used for broad candidate generation, while logCPM-compatible expression is used for downstream local ranking.</w:t>
      </w:r>
    </w:p>
    <w:p>
      <w:pPr>
        <w:jc w:val="both"/>
      </w:pPr>
      <w:r>
        <w:rPr>
          <w:rFonts w:ascii="Arial" w:hAnsi="Arial" w:eastAsia="Arial"/>
          <w:sz w:val="19"/>
        </w:rPr>
        <w:t>Operationally, cfRNA-BrainTrace normalizes the uploaded expression table into logCPM- or logTPM-compatible space and aligns genes to the reference panel. A reference-fitted linear projector maps the query to Bo2023-like VSD space using stored gene-wise slope, intercept and clipping parameters; the default route does not use target-cohort labels or target-cohort distribution information. The projected representation is used only for Network scoring. The top three Networks form a candidate beam, and candidate regions outside this beam are excluded from downstream regional ranking. Within the retained beam, resolution groups are reranked using local logCPM-compatible expression, and exact regions are then reranked as lower-confidence local candidates. This route uses the Bo2023 macaque brain transcriptomic reference without converting the atlas into a new projected atlas.</w:t>
      </w:r>
    </w:p>
    <w:p>
      <w:pPr>
        <w:pStyle w:val="Heading2"/>
      </w:pPr>
      <w:r>
        <w:rPr>
          <w:rFonts w:ascii="Arial" w:hAnsi="Arial" w:eastAsia="Arial"/>
          <w:sz w:val="21"/>
        </w:rPr>
        <w:t>Implementation</w:t>
      </w:r>
    </w:p>
    <w:p>
      <w:pPr>
        <w:jc w:val="both"/>
      </w:pPr>
      <w:r>
        <w:rPr>
          <w:rFonts w:ascii="Arial" w:hAnsi="Arial" w:eastAsia="Arial"/>
          <w:sz w:val="19"/>
        </w:rPr>
        <w:t xml:space="preserve">The Network projection and scoring route is implemented in </w:t>
      </w:r>
      <w:r>
        <w:rPr>
          <w:rFonts w:ascii="Consolas" w:hAnsi="Consolas" w:eastAsia="Consolas"/>
          <w:sz w:val="19"/>
        </w:rPr>
        <w:t>core/network_tracing.py</w:t>
      </w:r>
      <w:r>
        <w:rPr>
          <w:rFonts w:ascii="Arial" w:hAnsi="Arial" w:eastAsia="Arial"/>
          <w:sz w:val="19"/>
        </w:rPr>
        <w:t xml:space="preserve">, and the three-tier regional route is implemented in </w:t>
      </w:r>
      <w:r>
        <w:rPr>
          <w:rFonts w:ascii="Consolas" w:hAnsi="Consolas" w:eastAsia="Consolas"/>
          <w:sz w:val="19"/>
        </w:rPr>
        <w:t>core/bo2023_region_tracing.py</w:t>
      </w:r>
      <w:r>
        <w:rPr>
          <w:rFonts w:ascii="Arial" w:hAnsi="Arial" w:eastAsia="Arial"/>
          <w:sz w:val="19"/>
        </w:rPr>
        <w:t>. The command-line interface (</w:t>
      </w:r>
      <w:r>
        <w:rPr>
          <w:rFonts w:ascii="Consolas" w:hAnsi="Consolas" w:eastAsia="Consolas"/>
          <w:sz w:val="19"/>
        </w:rPr>
        <w:t>cli.py</w:t>
      </w:r>
      <w:r>
        <w:rPr>
          <w:rFonts w:ascii="Arial" w:hAnsi="Arial" w:eastAsia="Arial"/>
          <w:sz w:val="19"/>
        </w:rPr>
        <w:t>) and Streamlit entry points (</w:t>
      </w:r>
      <w:r>
        <w:rPr>
          <w:rFonts w:ascii="Consolas" w:hAnsi="Consolas" w:eastAsia="Consolas"/>
          <w:sz w:val="19"/>
        </w:rPr>
        <w:t>streamlit_app.py</w:t>
      </w:r>
      <w:r>
        <w:rPr>
          <w:rFonts w:ascii="Arial" w:hAnsi="Arial" w:eastAsia="Arial"/>
          <w:sz w:val="19"/>
        </w:rPr>
        <w:t xml:space="preserve">, </w:t>
      </w:r>
      <w:r>
        <w:rPr>
          <w:rFonts w:ascii="Consolas" w:hAnsi="Consolas" w:eastAsia="Consolas"/>
          <w:sz w:val="19"/>
        </w:rPr>
        <w:t>app/</w:t>
      </w:r>
      <w:r>
        <w:rPr>
          <w:rFonts w:ascii="Arial" w:hAnsi="Arial" w:eastAsia="Arial"/>
          <w:sz w:val="19"/>
        </w:rPr>
        <w:t xml:space="preserve">) call the same scoring core to avoid interface-specific divergence. Model artifacts include marker order, Network centroids, anatomical dictionaries, route parameters and warning metadata. The repository includes unit tests under </w:t>
      </w:r>
      <w:r>
        <w:rPr>
          <w:rFonts w:ascii="Consolas" w:hAnsi="Consolas" w:eastAsia="Consolas"/>
          <w:sz w:val="19"/>
        </w:rPr>
        <w:t>tests/</w:t>
      </w:r>
      <w:r>
        <w:rPr>
          <w:rFonts w:ascii="Arial" w:hAnsi="Arial" w:eastAsia="Arial"/>
          <w:sz w:val="19"/>
        </w:rPr>
        <w:t xml:space="preserve"> and validation/benchmark scripts under </w:t>
      </w:r>
      <w:r>
        <w:rPr>
          <w:rFonts w:ascii="Consolas" w:hAnsi="Consolas" w:eastAsia="Consolas"/>
          <w:sz w:val="19"/>
        </w:rPr>
        <w:t>scripts/</w:t>
      </w:r>
      <w:r>
        <w:rPr>
          <w:rFonts w:ascii="Arial" w:hAnsi="Arial" w:eastAsia="Arial"/>
          <w:sz w:val="19"/>
        </w:rPr>
        <w:t xml:space="preserve"> and </w:t>
      </w:r>
      <w:r>
        <w:rPr>
          <w:rFonts w:ascii="Consolas" w:hAnsi="Consolas" w:eastAsia="Consolas"/>
          <w:sz w:val="19"/>
        </w:rPr>
        <w:t>benchmark_runner.py</w:t>
      </w:r>
      <w:r>
        <w:rPr>
          <w:rFonts w:ascii="Arial" w:hAnsi="Arial" w:eastAsia="Arial"/>
          <w:sz w:val="19"/>
        </w:rPr>
        <w:t>, supporting reproducible reruns of the analyses reported here.</w:t>
      </w:r>
    </w:p>
    <w:p>
      <w:pPr>
        <w:pStyle w:val="Heading2"/>
      </w:pPr>
      <w:r>
        <w:rPr>
          <w:rFonts w:ascii="Arial" w:hAnsi="Arial" w:eastAsia="Arial"/>
          <w:sz w:val="21"/>
        </w:rPr>
        <w:t>Validation</w:t>
      </w:r>
    </w:p>
    <w:p>
      <w:pPr>
        <w:jc w:val="both"/>
      </w:pPr>
      <w:r>
        <w:rPr>
          <w:rFonts w:ascii="Arial" w:hAnsi="Arial" w:eastAsia="Arial"/>
          <w:sz w:val="19"/>
        </w:rPr>
        <w:t>Validation was matched to the resolution supported by available labels. Internal experiments first tested whether projected-VSD query representation was appropriate for generating the broad Network candidate beam. In fold-local leave-one-sample-out Network validation, projected VSD achieved Top1/Top3 accuracy of 58.00%/91.58%, exceeding logCPM baseline and native VSD routes. In strict leave-one-monkey-out validation, projected VSD reached 53.72%/91.33%. Direct exact-region projected-VSD scoring was lower and less stable, especially in leave-one-monkey-out evaluation, so exact-region scoring was not used as the sole endpoint.</w:t>
      </w:r>
    </w:p>
    <w:p>
      <w:pPr>
        <w:jc w:val="both"/>
      </w:pPr>
      <w:r>
        <w:rPr>
          <w:rFonts w:ascii="Arial" w:hAnsi="Arial" w:eastAsia="Arial"/>
          <w:sz w:val="19"/>
        </w:rPr>
        <w:t>The complete validation then tested the locked three-tier procedure end to end: projected-VSD Network Top3 beam generation, logCPM-compatible resolution-group reranking and logCPM-compatible exact-region reranking. This route achieved Network Top3 accuracy of 92.38% in leave-one-sample-out validation and 91.21% in leave-one-monkey-out validation. Resolution-group Top3 accuracy was 72.36% and 69.09%, respectively, whereas exact-region Top3 was 45.33% and 42.36%. The accuracy gradient across levels supports Network Top3 as the primary endpoint and resolution group as the more defensible region-level output. Exact-region results are retained as exploratory local candidate rankings rather than deterministic localization.</w:t>
      </w:r>
    </w:p>
    <w:p>
      <w:pPr>
        <w:jc w:val="both"/>
      </w:pPr>
      <w:r>
        <w:rPr>
          <w:rFonts w:ascii="Arial" w:hAnsi="Arial" w:eastAsia="Arial"/>
          <w:sz w:val="19"/>
        </w:rPr>
        <w:t>In AHBA mapped-label external validation, the hybrid route achieved Network Top1/Top3 accuracy of 74.68%/94.42%, resolution-group Top1/Top3 accuracy of 36.26%/67.03% and exact Top1/Top3 accuracy of 24.18%/42.86%; hybrid exact Top3 exceeded both logCPM baseline and projected-VSD-only scoring, supporting the use of projected VSD for the broad beam and logCPM expression for local reranking. In TCGA/BraTS glioma tissue RNA-seq with MRI-derived labels, results support only coarse anatomical consistency because MRI truth labels are human atlas labels rather than Bo2023 macaque exact-region identifiers. In that setting, hybrid Network Top3 was 40.00% and broad-anatomy Top3 was 64.62%. GSE189919 and other biofluid datasets without anatomical truth were treated as projection-feasibility or transfer stress tests rather than localization-accuracy validation.</w:t>
      </w:r>
    </w:p>
    <w:p>
      <w:pPr>
        <w:pStyle w:val="Heading2"/>
      </w:pPr>
      <w:r>
        <w:rPr>
          <w:rFonts w:ascii="Arial" w:hAnsi="Arial" w:eastAsia="Arial"/>
          <w:sz w:val="21"/>
        </w:rPr>
        <w:t>Use and limitations</w:t>
      </w:r>
    </w:p>
    <w:p>
      <w:pPr>
        <w:jc w:val="both"/>
      </w:pPr>
      <w:r>
        <w:rPr>
          <w:rFonts w:ascii="Arial" w:hAnsi="Arial" w:eastAsia="Arial"/>
          <w:sz w:val="19"/>
        </w:rPr>
        <w:t>The intended use of cfRNA-BrainTrace is coarse brain-origin candidate ranking from RNA expression profiles and assessment of whether a sample supports Network-level, resolution-group-level or only low-confidence output. The software exports warnings for sparse input profiles, low marker coverage, high entropy, low score margins, out-of-scope anatomical spaces and domain shift. It is not intended for deterministic exact-region localization, clinical cfRNA localization without independent anatomical truth, or localization of cerebellar/posterior-fossa samples outside the current reference space. The cfRNA name reflects the intended prospective research setting; the current evidence does not establish clinical liquid-biopsy localization.</w:t>
      </w:r>
    </w:p>
    <w:p>
      <w:pPr>
        <w:pStyle w:val="Heading1"/>
      </w:pPr>
      <w:r>
        <w:rPr>
          <w:rFonts w:ascii="Arial" w:hAnsi="Arial" w:eastAsia="Arial"/>
          <w:sz w:val="25"/>
        </w:rPr>
        <w:t>Funding</w:t>
      </w:r>
    </w:p>
    <w:p>
      <w:pPr>
        <w:jc w:val="both"/>
      </w:pPr>
      <w:r>
        <w:rPr>
          <w:rFonts w:ascii="Arial" w:hAnsi="Arial" w:eastAsia="Arial"/>
          <w:sz w:val="19"/>
        </w:rPr>
        <w:t>[FUNDING INFORMATION REQUIRED BEFORE SUBMISSION]</w:t>
      </w:r>
    </w:p>
    <w:p>
      <w:pPr>
        <w:pStyle w:val="Heading1"/>
      </w:pPr>
      <w:r>
        <w:rPr>
          <w:rFonts w:ascii="Arial" w:hAnsi="Arial" w:eastAsia="Arial"/>
          <w:sz w:val="25"/>
        </w:rPr>
        <w:t>Conflict of Interest</w:t>
      </w:r>
    </w:p>
    <w:p>
      <w:pPr>
        <w:jc w:val="both"/>
      </w:pPr>
      <w:r>
        <w:rPr>
          <w:rFonts w:ascii="Arial" w:hAnsi="Arial" w:eastAsia="Arial"/>
          <w:sz w:val="19"/>
        </w:rPr>
        <w:t>None declared.</w:t>
      </w:r>
    </w:p>
    <w:p>
      <w:pPr>
        <w:pStyle w:val="Heading1"/>
      </w:pPr>
      <w:r>
        <w:rPr>
          <w:rFonts w:ascii="Arial" w:hAnsi="Arial" w:eastAsia="Arial"/>
          <w:sz w:val="25"/>
        </w:rPr>
        <w:t>Data availability</w:t>
      </w:r>
    </w:p>
    <w:p>
      <w:pPr>
        <w:jc w:val="both"/>
      </w:pPr>
      <w:r>
        <w:rPr>
          <w:rFonts w:ascii="Arial" w:hAnsi="Arial" w:eastAsia="Arial"/>
          <w:sz w:val="19"/>
        </w:rPr>
        <w:t xml:space="preserve">The Bo2023 macaque transcriptomic atlas, Allen Human Brain Atlas, TCGA/BraTS and GEO datasets are available from their original repositories under their original access conditions. Processed non-sensitive evaluation tables and figure source data will be archived at </w:t>
      </w:r>
      <w:r>
        <w:rPr>
          <w:rFonts w:ascii="Arial" w:hAnsi="Arial" w:eastAsia="Arial"/>
          <w:b/>
          <w:sz w:val="19"/>
        </w:rPr>
        <w:t>[DOI REQUIRED BEFORE SUBMISSION]</w:t>
      </w:r>
      <w:r>
        <w:rPr>
          <w:rFonts w:ascii="Arial" w:hAnsi="Arial" w:eastAsia="Arial"/>
          <w:sz w:val="19"/>
        </w:rPr>
        <w:t xml:space="preserve"> and must be available before submission.</w:t>
      </w:r>
    </w:p>
    <w:p>
      <w:pPr>
        <w:pStyle w:val="Heading1"/>
      </w:pPr>
      <w:r>
        <w:rPr>
          <w:rFonts w:ascii="Arial" w:hAnsi="Arial" w:eastAsia="Arial"/>
          <w:sz w:val="25"/>
        </w:rPr>
        <w:t>References</w:t>
      </w:r>
    </w:p>
    <w:p>
      <w:pPr>
        <w:jc w:val="both"/>
      </w:pPr>
      <w:r>
        <w:rPr>
          <w:rFonts w:ascii="Arial" w:hAnsi="Arial" w:eastAsia="Arial"/>
          <w:sz w:val="19"/>
        </w:rPr>
        <w:t xml:space="preserve">Bakas,S. </w:t>
      </w:r>
      <w:r>
        <w:rPr>
          <w:rFonts w:ascii="Arial" w:hAnsi="Arial" w:eastAsia="Arial"/>
          <w:i/>
          <w:sz w:val="19"/>
        </w:rPr>
        <w:t>et al.</w:t>
      </w:r>
      <w:r>
        <w:rPr>
          <w:rFonts w:ascii="Arial" w:hAnsi="Arial" w:eastAsia="Arial"/>
          <w:sz w:val="19"/>
        </w:rPr>
        <w:t xml:space="preserve"> (2017) Advancing The Cancer Genome Atlas glioma MRI collections with expert segmentation labels and radiomic features. </w:t>
      </w:r>
      <w:r>
        <w:rPr>
          <w:rFonts w:ascii="Arial" w:hAnsi="Arial" w:eastAsia="Arial"/>
          <w:i/>
          <w:sz w:val="19"/>
        </w:rPr>
        <w:t>Sci. Data</w:t>
      </w:r>
      <w:r>
        <w:rPr>
          <w:rFonts w:ascii="Arial" w:hAnsi="Arial" w:eastAsia="Arial"/>
          <w:sz w:val="19"/>
        </w:rPr>
        <w:t xml:space="preserve">, </w:t>
      </w:r>
      <w:r>
        <w:rPr>
          <w:rFonts w:ascii="Arial" w:hAnsi="Arial" w:eastAsia="Arial"/>
          <w:b/>
          <w:sz w:val="19"/>
        </w:rPr>
        <w:t>4</w:t>
      </w:r>
      <w:r>
        <w:rPr>
          <w:rFonts w:ascii="Arial" w:hAnsi="Arial" w:eastAsia="Arial"/>
          <w:sz w:val="19"/>
        </w:rPr>
        <w:t>, 170117.</w:t>
      </w:r>
    </w:p>
    <w:p>
      <w:pPr>
        <w:jc w:val="both"/>
      </w:pPr>
      <w:r>
        <w:rPr>
          <w:rFonts w:ascii="Arial" w:hAnsi="Arial" w:eastAsia="Arial"/>
          <w:sz w:val="19"/>
        </w:rPr>
        <w:t xml:space="preserve">Bo,T. </w:t>
      </w:r>
      <w:r>
        <w:rPr>
          <w:rFonts w:ascii="Arial" w:hAnsi="Arial" w:eastAsia="Arial"/>
          <w:i/>
          <w:sz w:val="19"/>
        </w:rPr>
        <w:t>et al.</w:t>
      </w:r>
      <w:r>
        <w:rPr>
          <w:rFonts w:ascii="Arial" w:hAnsi="Arial" w:eastAsia="Arial"/>
          <w:sz w:val="19"/>
        </w:rPr>
        <w:t xml:space="preserve"> (2023) Brain-wide and cell-specific transcriptomic insights into MRI-derived cortical morphology in macaque monkeys. </w:t>
      </w:r>
      <w:r>
        <w:rPr>
          <w:rFonts w:ascii="Arial" w:hAnsi="Arial" w:eastAsia="Arial"/>
          <w:i/>
          <w:sz w:val="19"/>
        </w:rPr>
        <w:t>Nat. Commun.</w:t>
      </w:r>
      <w:r>
        <w:rPr>
          <w:rFonts w:ascii="Arial" w:hAnsi="Arial" w:eastAsia="Arial"/>
          <w:sz w:val="19"/>
        </w:rPr>
        <w:t xml:space="preserve">, </w:t>
      </w:r>
      <w:r>
        <w:rPr>
          <w:rFonts w:ascii="Arial" w:hAnsi="Arial" w:eastAsia="Arial"/>
          <w:b/>
          <w:sz w:val="19"/>
        </w:rPr>
        <w:t>14</w:t>
      </w:r>
      <w:r>
        <w:rPr>
          <w:rFonts w:ascii="Arial" w:hAnsi="Arial" w:eastAsia="Arial"/>
          <w:sz w:val="19"/>
        </w:rPr>
        <w:t>, 1283.</w:t>
      </w:r>
    </w:p>
    <w:p>
      <w:pPr>
        <w:jc w:val="both"/>
      </w:pPr>
      <w:r>
        <w:rPr>
          <w:rFonts w:ascii="Arial" w:hAnsi="Arial" w:eastAsia="Arial"/>
          <w:sz w:val="19"/>
        </w:rPr>
        <w:t xml:space="preserve">Hawrylycz,M.J. </w:t>
      </w:r>
      <w:r>
        <w:rPr>
          <w:rFonts w:ascii="Arial" w:hAnsi="Arial" w:eastAsia="Arial"/>
          <w:i/>
          <w:sz w:val="19"/>
        </w:rPr>
        <w:t>et al.</w:t>
      </w:r>
      <w:r>
        <w:rPr>
          <w:rFonts w:ascii="Arial" w:hAnsi="Arial" w:eastAsia="Arial"/>
          <w:sz w:val="19"/>
        </w:rPr>
        <w:t xml:space="preserve"> (2012) An anatomically comprehensive atlas of the adult human brain transcriptome. </w:t>
      </w:r>
      <w:r>
        <w:rPr>
          <w:rFonts w:ascii="Arial" w:hAnsi="Arial" w:eastAsia="Arial"/>
          <w:i/>
          <w:sz w:val="19"/>
        </w:rPr>
        <w:t>Nature</w:t>
      </w:r>
      <w:r>
        <w:rPr>
          <w:rFonts w:ascii="Arial" w:hAnsi="Arial" w:eastAsia="Arial"/>
          <w:sz w:val="19"/>
        </w:rPr>
        <w:t xml:space="preserve">, </w:t>
      </w:r>
      <w:r>
        <w:rPr>
          <w:rFonts w:ascii="Arial" w:hAnsi="Arial" w:eastAsia="Arial"/>
          <w:b/>
          <w:sz w:val="19"/>
        </w:rPr>
        <w:t>489</w:t>
      </w:r>
      <w:r>
        <w:rPr>
          <w:rFonts w:ascii="Arial" w:hAnsi="Arial" w:eastAsia="Arial"/>
          <w:sz w:val="19"/>
        </w:rPr>
        <w:t>, 391-399.</w:t>
      </w:r>
    </w:p>
    <w:p>
      <w:pPr>
        <w:jc w:val="both"/>
      </w:pPr>
      <w:r>
        <w:rPr>
          <w:rFonts w:ascii="Arial" w:hAnsi="Arial" w:eastAsia="Arial"/>
          <w:sz w:val="19"/>
        </w:rPr>
        <w:t xml:space="preserve">Vorperian,S.K. </w:t>
      </w:r>
      <w:r>
        <w:rPr>
          <w:rFonts w:ascii="Arial" w:hAnsi="Arial" w:eastAsia="Arial"/>
          <w:i/>
          <w:sz w:val="19"/>
        </w:rPr>
        <w:t>et al.</w:t>
      </w:r>
      <w:r>
        <w:rPr>
          <w:rFonts w:ascii="Arial" w:hAnsi="Arial" w:eastAsia="Arial"/>
          <w:sz w:val="19"/>
        </w:rPr>
        <w:t xml:space="preserve"> (2022) Cell types of origin of the cell-free transcriptome. </w:t>
      </w:r>
      <w:r>
        <w:rPr>
          <w:rFonts w:ascii="Arial" w:hAnsi="Arial" w:eastAsia="Arial"/>
          <w:i/>
          <w:sz w:val="19"/>
        </w:rPr>
        <w:t>Nat. Biotechnol.</w:t>
      </w:r>
      <w:r>
        <w:rPr>
          <w:rFonts w:ascii="Arial" w:hAnsi="Arial" w:eastAsia="Arial"/>
          <w:sz w:val="19"/>
        </w:rPr>
        <w:t xml:space="preserve">, </w:t>
      </w:r>
      <w:r>
        <w:rPr>
          <w:rFonts w:ascii="Arial" w:hAnsi="Arial" w:eastAsia="Arial"/>
          <w:b/>
          <w:sz w:val="19"/>
        </w:rPr>
        <w:t>40</w:t>
      </w:r>
      <w:r>
        <w:rPr>
          <w:rFonts w:ascii="Arial" w:hAnsi="Arial" w:eastAsia="Arial"/>
          <w:sz w:val="19"/>
        </w:rPr>
        <w:t>, 855-861.</w:t>
      </w:r>
    </w:p>
    <w:p>
      <w:r>
        <w:br w:type="page"/>
      </w:r>
    </w:p>
    <w:p>
      <w:pPr>
        <w:pStyle w:val="Heading1"/>
      </w:pPr>
      <w:r>
        <w:t>Figure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572000"/>
            <wp:docPr id="1" name="Picture 1" title="Figure 1. cfRNA-BrainTrace three-tier route and validation evidence" descr="Workflow and bar chart summarizing three-tier validation resul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cfRNA_BrainTrace_Bioinformatics_low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 w:eastAsia="Arial"/>
          <w:b/>
          <w:sz w:val="19"/>
        </w:rPr>
        <w:t>Figure 1. cfRNA-BrainTrace three-tier route and validation evidence.</w:t>
      </w:r>
      <w:r>
        <w:rPr>
          <w:rFonts w:ascii="Arial" w:hAnsi="Arial" w:eastAsia="Arial"/>
          <w:sz w:val="19"/>
        </w:rPr>
        <w:t xml:space="preserve"> The query is projected into Bo2023-like VSD space only for Network Top3 beam generation; downstream resolution-group and exact-region reranking is performed in logCPM-compatible local expression space. Internal validation shows the expected resolution gradient, with high Network Top3 accuracy and lower resolution-group and exact-region accuracy. AHBA provides mapped-label external validation, whereas TCGA/BraTS supports only coarse anatomical consistency because its MRI truth labels are human atlas labels rather than Bo2023 macaque exact-region identifiers.</w:t>
      </w:r>
    </w:p>
    <w:p>
      <w:pPr>
        <w:jc w:val="left"/>
      </w:pPr>
      <w:r>
        <w:rPr>
          <w:rFonts w:ascii="Arial" w:hAnsi="Arial" w:eastAsia="Arial"/>
          <w:b/>
          <w:sz w:val="19"/>
        </w:rPr>
        <w:t>Alt text:</w:t>
      </w:r>
      <w:r>
        <w:rPr>
          <w:rFonts w:ascii="Arial" w:hAnsi="Arial" w:eastAsia="Arial"/>
          <w:sz w:val="19"/>
        </w:rPr>
        <w:t xml:space="preserve"> Multi-panel figure summarizing the cfRNA-BrainTrace workflow and validation. A workflow diagram shows query preprocessing, projected-VSD Network Top3 beam generation and logCPM local reranking. Bar charts show Network Top3 near 92% in internal validation, resolution-group Top3 around 69%-72% and lower exact-region Top3 around 42%-45%. External panels show AHBA Network Top3 of 94.42% and TCGA/BraTS broad-anatomy Top3 of 64.62%.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cfRNA-BrainTrace Bioinformatics Application Note revised draft</dc:title>
  <dc:subject>Bioinformatics Application Note</dc:subject>
  <dc:creator>python-docx</dc:creator>
  <cp:keywords/>
  <dc:description>Revised according to repository-supported submission guidance.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