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5499C" w14:textId="77777777" w:rsidR="001C455C" w:rsidRDefault="00000000">
      <w:pPr>
        <w:pStyle w:val="Title"/>
      </w:pPr>
      <w:r>
        <w:t>Comparing antigenic distance metrics for influenza against genetic and antigenic history</w:t>
      </w:r>
    </w:p>
    <w:p w14:paraId="3E35958D" w14:textId="77777777" w:rsidR="001C455C" w:rsidRDefault="00000000">
      <w:pPr>
        <w:pStyle w:val="Subtitle"/>
      </w:pPr>
      <w:r>
        <w:t>EPID 8200 project proposal</w:t>
      </w:r>
    </w:p>
    <w:p w14:paraId="28B71EB0" w14:textId="77777777" w:rsidR="001C455C" w:rsidRDefault="00000000">
      <w:pPr>
        <w:pStyle w:val="Author"/>
      </w:pPr>
      <w:r>
        <w:t>W. Zane Billings</w:t>
      </w:r>
    </w:p>
    <w:p w14:paraId="1420FEF6" w14:textId="77777777" w:rsidR="001C455C" w:rsidRDefault="00000000">
      <w:pPr>
        <w:pStyle w:val="Author"/>
      </w:pPr>
      <w:r>
        <w:t>Amanda Skarlupka</w:t>
      </w:r>
    </w:p>
    <w:p w14:paraId="50E1DF9C" w14:textId="77777777" w:rsidR="001C455C" w:rsidRDefault="00000000">
      <w:pPr>
        <w:pStyle w:val="Author"/>
      </w:pPr>
      <w:r>
        <w:t>Lambodhar Damodaran</w:t>
      </w:r>
    </w:p>
    <w:p w14:paraId="044C3F03" w14:textId="77777777" w:rsidR="001C455C" w:rsidRDefault="00000000">
      <w:pPr>
        <w:pStyle w:val="Author"/>
      </w:pPr>
      <w:r>
        <w:t>Justin Bahl</w:t>
      </w:r>
    </w:p>
    <w:p w14:paraId="7C1A19AC" w14:textId="77777777" w:rsidR="001C455C" w:rsidRDefault="00000000">
      <w:pPr>
        <w:pStyle w:val="Author"/>
      </w:pPr>
      <w:r>
        <w:t>Andreas Handel</w:t>
      </w:r>
    </w:p>
    <w:p w14:paraId="1057D58C" w14:textId="77777777" w:rsidR="001C455C" w:rsidRDefault="00000000">
      <w:pPr>
        <w:pStyle w:val="Date"/>
      </w:pPr>
      <w:r>
        <w:t>2024-03-13</w:t>
      </w:r>
    </w:p>
    <w:p w14:paraId="14A80B4B" w14:textId="77777777" w:rsidR="001C455C" w:rsidRDefault="00000000">
      <w:pPr>
        <w:pStyle w:val="Heading1"/>
      </w:pPr>
      <w:bookmarkStart w:id="0" w:name="project-summary"/>
      <w:r>
        <w:t>Project summary</w:t>
      </w:r>
    </w:p>
    <w:p w14:paraId="0DC5EEE7" w14:textId="77777777" w:rsidR="001C455C" w:rsidRDefault="00000000">
      <w:pPr>
        <w:pStyle w:val="FirstParagraph"/>
      </w:pPr>
      <w:r>
        <w:t>Influenza A evolves rapidly and causes seasonal epidemics in temperate climates. Subsequent epidemics are often induced by immune escape and the spread of a novel variant. The antigenic distance between variants of influenza can be calculated using multiple different methods, and is not always equivalent to the genetic or evolutionary distance between to strains. There is no consensus on which distance calculation methods most accurately map to immune phenotypes and immune escape variants. We propose to calculate many different distance metrics on the same database, including antigenic cartography. We can then use the sequences to reconstruct a maximum likelihood evolutionary history, and compare distance-based evolutionary trees within a likelihood framework to determine which metrics most accurately reflect the evolutionary history of the immune escape variant strains.</w:t>
      </w:r>
    </w:p>
    <w:p w14:paraId="7D6ABF4C" w14:textId="77777777" w:rsidR="001C455C" w:rsidRDefault="00000000">
      <w:r>
        <w:br w:type="page"/>
      </w:r>
    </w:p>
    <w:p w14:paraId="0339CD56" w14:textId="77777777" w:rsidR="001C455C" w:rsidRDefault="00000000">
      <w:pPr>
        <w:pStyle w:val="Heading1"/>
      </w:pPr>
      <w:bookmarkStart w:id="1" w:name="significance"/>
      <w:bookmarkEnd w:id="0"/>
      <w:r>
        <w:lastRenderedPageBreak/>
        <w:t>Significance</w:t>
      </w:r>
    </w:p>
    <w:p w14:paraId="5B870022" w14:textId="77777777" w:rsidR="001C455C" w:rsidRDefault="00000000">
      <w:pPr>
        <w:pStyle w:val="FirstParagraph"/>
      </w:pPr>
      <w:r>
        <w:t>The natural history of influenza is shaped predominantly by rapid evolution due to host selective pressures, along with periodic recombination events which lead to the proliferation of novel variants. We call these evolutionary processes antigenic drift and antigenic shift respectively. (1) Effectively vaccinating against influenza requires careful consideration of these evolutionary processes, and current vaccines rely on predicting variants of concern which are expected to circulate in the upcoming season. (2)</w:t>
      </w:r>
    </w:p>
    <w:p w14:paraId="651CF26A" w14:textId="77777777" w:rsidR="001C455C" w:rsidRDefault="00000000">
      <w:pPr>
        <w:pStyle w:val="BodyText"/>
      </w:pPr>
      <w:r>
        <w:t>Current influenza vaccines rarely elicit strong responses to many different strains of influenza, and so are less effective when predictions for circulating strains are incorrect, or when novel viruses emerge due to recombination as in 2009. Developing a broadly protective influenza vaccine which responds to many different strains of influenza is, therefore, a crucial goal for reduction of the burden of current and future influenza epidemics. (3–8)</w:t>
      </w:r>
    </w:p>
    <w:p w14:paraId="228CCA17" w14:textId="77777777" w:rsidR="001C455C" w:rsidRDefault="00000000">
      <w:pPr>
        <w:pStyle w:val="BodyText"/>
      </w:pPr>
      <w:r>
        <w:t>However, measuring the breadth of a vaccine response is difficult, and many proposed measures involve using the year of isolation of influenza viruses as a proxy for sequence dissimilarity due to antigenic drift. (9,10) Especially for H1N1, which has two distinct historical lineages, year of isolation is an inadequate measure of antigenic distance. However, there are many different measures of genetic and antigenic distance, with no clear consensus on which is best for influenza. Comparing the similarity of antigenic distance measurements and their ability to reconstruct the evolutionary history of influenza is necessary for improving methods for quantifying the breadth of vaccine response.</w:t>
      </w:r>
    </w:p>
    <w:p w14:paraId="0E319852" w14:textId="77777777" w:rsidR="001C455C" w:rsidRDefault="00000000">
      <w:pPr>
        <w:pStyle w:val="Heading1"/>
      </w:pPr>
      <w:bookmarkStart w:id="2" w:name="approach"/>
      <w:bookmarkEnd w:id="1"/>
      <w:r>
        <w:t>Approach</w:t>
      </w:r>
    </w:p>
    <w:p w14:paraId="1FAD2B9A" w14:textId="77777777" w:rsidR="001C455C" w:rsidRDefault="00000000">
      <w:pPr>
        <w:pStyle w:val="FirstParagraph"/>
      </w:pPr>
      <w:r>
        <w:t>We will combine data from an influenza cohort study along with publicly avaiable influenza sequence data in order to compare multiple measurements of genetic and antigenic distance.The cohort data we will use is comprised of volunteers enrolled at three different study sites from September 2013 ongoing. The cohort and serological methods have been described previously. (11,12)</w:t>
      </w:r>
    </w:p>
    <w:p w14:paraId="516E740F" w14:textId="77777777" w:rsidR="001C455C" w:rsidRDefault="00000000">
      <w:pPr>
        <w:pStyle w:val="BodyText"/>
      </w:pPr>
      <w:r>
        <w:t>Briefly, the study design is a prospective, open cohort study with one treatment arm. Recruited individuals completed a questionnaire at enrollment to provide demographic information (including sex, race, age, comorbidities, and prior vaccination history), gave a pre-vaccination serum sample, and received a seasonal influenza vaccine. Individuals returned for a followup visit with a target timeframe of 21 or 28 days post-vaccination (depending on the year) and gave a second serum sample. Individuals who were under the age of 65 received the standard dose (SD) FluZone (Sanofi Pasteur) vaccine, while individuals who were age 65 or older were allowed to choose either FluZone or FluZone High Dose (HD). Individuals were allowed to return in subsequent years.</w:t>
      </w:r>
    </w:p>
    <w:p w14:paraId="1567375F" w14:textId="77777777" w:rsidR="001C455C" w:rsidRDefault="00000000">
      <w:pPr>
        <w:pStyle w:val="BodyText"/>
      </w:pPr>
      <w:r>
        <w:t xml:space="preserve">For our study, we selected records that had both a pre and post-vaccination serum time point. We also only used records from study years 2013 up to March 2020, as the historical </w:t>
      </w:r>
      <w:r>
        <w:lastRenderedPageBreak/>
        <w:t xml:space="preserve">panel was reduced in subsequent years due to concerns arising from the COVID-19 pandemic. </w:t>
      </w:r>
      <w:hyperlink w:anchor="tbl-demographics">
        <w:r>
          <w:rPr>
            <w:rStyle w:val="Hyperlink"/>
          </w:rPr>
          <w:t>Table 1</w:t>
        </w:r>
      </w:hyperlink>
      <w:r>
        <w:t xml:space="preserve"> shows demographics and counts for participants who were selected for inclusion in our study. We will also only consider responses to influenza A and responses to the SD vaccine. We will treat H1N1 and H3N2 as independent lineages for the purpose of our analyses.</w:t>
      </w:r>
    </w:p>
    <w:p w14:paraId="33C3FBC6" w14:textId="77777777" w:rsidR="001C455C" w:rsidRDefault="00000000">
      <w:pPr>
        <w:pStyle w:val="BodyText"/>
      </w:pPr>
      <w:r>
        <w:t xml:space="preserve">Researchers conducted hemagglutination inhibition (HAI) assays to a panel of historical strains, which varied slightly over the duration of the study due to funding and virus availibilities. The strains they used, along with the UniProt and/or GISAID acession numbers for the protein sequences are given in </w:t>
      </w:r>
      <w:hyperlink w:anchor="tbl-sequence-numbers">
        <w:r>
          <w:rPr>
            <w:rStyle w:val="Hyperlink"/>
          </w:rPr>
          <w:t>Table 3</w:t>
        </w:r>
      </w:hyperlink>
      <w:r>
        <w:t xml:space="preserve">. The years for which each strain was used are shown in </w:t>
      </w:r>
      <w:hyperlink w:anchor="tbl-strain-years">
        <w:r>
          <w:rPr>
            <w:rStyle w:val="Hyperlink"/>
          </w:rPr>
          <w:t>Table 2</w:t>
        </w:r>
      </w:hyperlink>
      <w:r>
        <w:t>.</w:t>
      </w:r>
    </w:p>
    <w:p w14:paraId="009EA09E" w14:textId="77777777" w:rsidR="001C455C" w:rsidRDefault="00000000">
      <w:pPr>
        <w:pStyle w:val="BodyText"/>
      </w:pPr>
      <w:r>
        <w:t xml:space="preserve">In order to compare genetic distance measures, we will first build a maximum likelihood (ML) phylogenetic tree using the RNA sequences for each strain. Then, we will calculate the pairwise distances between strains using several different methods: Hamming distance, Levenshtein distance, Grantham’s distance, </w:t>
      </w:r>
      <m:oMath>
        <m:r>
          <w:rPr>
            <w:rFonts w:ascii="Cambria Math" w:hAnsi="Cambria Math"/>
          </w:rPr>
          <m:t>p</m:t>
        </m:r>
      </m:oMath>
      <w:r>
        <w:t>-epitope distance, and normalized Euclidean distance from antigenic cartography (see following section). Then, we can use each of the computed distance matrices to build a distance-based tree via neighbor joining. The likelihood of the resulting distance-based tree can be calculated under the same framework as the ML tree, and we can use a likelihood ratio test to determine whether the distance-based tree is significantly worse than the ML tree. Note that we can easily extend our proposed methods to include any number of different genetic or antigenic distance metrics, but as this is a proof of concept study, we limited our concern to these metrics.</w:t>
      </w:r>
    </w:p>
    <w:p w14:paraId="60847E06" w14:textId="77777777" w:rsidR="001C455C" w:rsidRDefault="00000000">
      <w:pPr>
        <w:pStyle w:val="BodyText"/>
      </w:pPr>
      <w:r>
        <w:t>We will also check whether the ML tree reflects what we know about evolutionary history. Since the strains we will use emerged in a specific and known order, we can compare the inferred phylogeny based on sequence distance to the true phylodynamic history. In particular, comparing the likelihoods of the ML and cartography-based tree should give us insight into how similar the genetic and antigenic patterns of evolution are for both H1N1 and H3N2 vaccine strains. We can also compare the trees based on genetic distance measurements to the tree based on the cartographic distance using a likelihood ratio test, so we can determine which measures of genetic distance are similar to the genetic and antigenic evolution patterns we detect in the data.</w:t>
      </w:r>
    </w:p>
    <w:p w14:paraId="55E3A7F6" w14:textId="77777777" w:rsidR="001C455C" w:rsidRDefault="00000000">
      <w:pPr>
        <w:pStyle w:val="BodyText"/>
      </w:pPr>
      <w:r>
        <w:t>Finally, we will also conduct correlation and reliability analyses on the different measures of antigenic distance to assess how similar they are to each other. Our tree-based analysis can tell us which simple measures are best at reconstructing the genetic or antigenic history of the virus. Susequent correlation and reliability analyses can provide additional information about how similar different measurements are and may help highlight why certain measurements are more similar to the genetic or cartographic phylogenies.</w:t>
      </w:r>
    </w:p>
    <w:p w14:paraId="19AF705F" w14:textId="77777777" w:rsidR="001C455C" w:rsidRDefault="00000000">
      <w:pPr>
        <w:pStyle w:val="BodyText"/>
      </w:pPr>
      <w:r>
        <w:t xml:space="preserve">We conducted antigenic cartography using the post-vaccination cohort data described previously. We used the Racmacs R package to construct the cartographic maps from the HAI data, which employs an iterative multidimensional scaling (MDS) process to reduce the matrix of measurements into fewer dimensions, from which we can easily calculate Euclidean distance measurements. We computed cartographic maps in 1 – 5 dimensions, </w:t>
      </w:r>
      <w:r>
        <w:lastRenderedPageBreak/>
        <w:t>and based on the relative error for each, we determined that 2 dimensions were suitable, which matches previous findings.</w:t>
      </w:r>
    </w:p>
    <w:p w14:paraId="7A76A47B" w14:textId="77777777" w:rsidR="001C455C" w:rsidRDefault="00000000">
      <w:r>
        <w:br w:type="page"/>
      </w:r>
    </w:p>
    <w:p w14:paraId="3490F6D3" w14:textId="77777777" w:rsidR="001C455C" w:rsidRDefault="00000000">
      <w:pPr>
        <w:pStyle w:val="Heading1"/>
      </w:pPr>
      <w:bookmarkStart w:id="3" w:name="data-tables"/>
      <w:bookmarkEnd w:id="2"/>
      <w:r>
        <w:lastRenderedPageBreak/>
        <w:t>Data tables</w:t>
      </w:r>
    </w:p>
    <w:tbl>
      <w:tblPr>
        <w:tblStyle w:val="Table"/>
        <w:tblW w:w="5000" w:type="pct"/>
        <w:tblLayout w:type="fixed"/>
        <w:tblLook w:val="0000" w:firstRow="0" w:lastRow="0" w:firstColumn="0" w:lastColumn="0" w:noHBand="0" w:noVBand="0"/>
      </w:tblPr>
      <w:tblGrid>
        <w:gridCol w:w="9360"/>
      </w:tblGrid>
      <w:tr w:rsidR="001C455C" w14:paraId="072B8CDD" w14:textId="77777777">
        <w:tc>
          <w:tcPr>
            <w:tcW w:w="7920" w:type="dxa"/>
          </w:tcPr>
          <w:p w14:paraId="3859C51C" w14:textId="77777777" w:rsidR="001C455C" w:rsidRDefault="00000000">
            <w:pPr>
              <w:pStyle w:val="ImageCaption"/>
              <w:spacing w:before="200"/>
            </w:pPr>
            <w:bookmarkStart w:id="4" w:name="tbl-demographics"/>
            <w:r>
              <w:t>Table 1: Age, sex, race, dose, and study site distributions for the selected study years. Notice that the study was conducted at the FL and PA study sites from fall 2013 through spring 2017, and at the UGA study site beginning in January 2017 onwards.</w:t>
            </w:r>
          </w:p>
          <w:tbl>
            <w:tblPr>
              <w:tblStyle w:val="Table"/>
              <w:tblW w:w="0" w:type="auto"/>
              <w:jc w:val="center"/>
              <w:tblLayout w:type="fixed"/>
              <w:tblLook w:val="0420" w:firstRow="1" w:lastRow="0" w:firstColumn="0" w:lastColumn="0" w:noHBand="0" w:noVBand="1"/>
            </w:tblPr>
            <w:tblGrid>
              <w:gridCol w:w="1296"/>
              <w:gridCol w:w="1152"/>
              <w:gridCol w:w="1152"/>
              <w:gridCol w:w="1152"/>
              <w:gridCol w:w="1152"/>
              <w:gridCol w:w="1152"/>
              <w:gridCol w:w="1152"/>
              <w:gridCol w:w="1152"/>
            </w:tblGrid>
            <w:tr w:rsidR="001C455C" w14:paraId="2E0F91E8" w14:textId="77777777" w:rsidTr="001C455C">
              <w:trPr>
                <w:cnfStyle w:val="100000000000" w:firstRow="1" w:lastRow="0" w:firstColumn="0" w:lastColumn="0" w:oddVBand="0" w:evenVBand="0" w:oddHBand="0" w:evenHBand="0" w:firstRowFirstColumn="0" w:firstRowLastColumn="0" w:lastRowFirstColumn="0" w:lastRowLastColumn="0"/>
                <w:tblHeader/>
                <w:jc w:val="center"/>
              </w:trPr>
              <w:tc>
                <w:tcPr>
                  <w:tcW w:w="129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6EB8F72" w14:textId="77777777" w:rsidR="001C455C" w:rsidRDefault="001C455C">
                  <w:pPr>
                    <w:pBdr>
                      <w:top w:val="none" w:sz="0" w:space="0" w:color="000000"/>
                      <w:left w:val="none" w:sz="0" w:space="0" w:color="000000"/>
                      <w:bottom w:val="none" w:sz="0" w:space="0" w:color="000000"/>
                      <w:right w:val="none" w:sz="0" w:space="0" w:color="000000"/>
                    </w:pBdr>
                    <w:spacing w:before="40" w:after="40"/>
                    <w:ind w:left="100" w:right="100"/>
                  </w:pPr>
                </w:p>
              </w:tc>
              <w:tc>
                <w:tcPr>
                  <w:tcW w:w="115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5EB052B" w14:textId="77777777" w:rsidR="001C455C"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2013 - 2014</w:t>
                  </w:r>
                  <w:r>
                    <w:rPr>
                      <w:rFonts w:ascii="Arial" w:eastAsia="Arial" w:hAnsi="Arial" w:cs="Arial"/>
                      <w:color w:val="000000"/>
                      <w:sz w:val="22"/>
                      <w:szCs w:val="22"/>
                    </w:rPr>
                    <w:t>, N = 133</w:t>
                  </w:r>
                  <w:r>
                    <w:rPr>
                      <w:rFonts w:ascii="Arial" w:eastAsia="Arial" w:hAnsi="Arial" w:cs="Arial"/>
                      <w:color w:val="000000"/>
                      <w:sz w:val="22"/>
                      <w:szCs w:val="22"/>
                      <w:vertAlign w:val="superscript"/>
                    </w:rPr>
                    <w:t>1</w:t>
                  </w:r>
                </w:p>
              </w:tc>
              <w:tc>
                <w:tcPr>
                  <w:tcW w:w="115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4322D05" w14:textId="77777777" w:rsidR="001C455C"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2014 - 2015</w:t>
                  </w:r>
                  <w:r>
                    <w:rPr>
                      <w:rFonts w:ascii="Arial" w:eastAsia="Arial" w:hAnsi="Arial" w:cs="Arial"/>
                      <w:color w:val="000000"/>
                      <w:sz w:val="22"/>
                      <w:szCs w:val="22"/>
                    </w:rPr>
                    <w:t>, N = 238</w:t>
                  </w:r>
                  <w:r>
                    <w:rPr>
                      <w:rFonts w:ascii="Arial" w:eastAsia="Arial" w:hAnsi="Arial" w:cs="Arial"/>
                      <w:color w:val="000000"/>
                      <w:sz w:val="22"/>
                      <w:szCs w:val="22"/>
                      <w:vertAlign w:val="superscript"/>
                    </w:rPr>
                    <w:t>1</w:t>
                  </w:r>
                </w:p>
              </w:tc>
              <w:tc>
                <w:tcPr>
                  <w:tcW w:w="115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3F5EFF6" w14:textId="77777777" w:rsidR="001C455C"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2015 - 2016</w:t>
                  </w:r>
                  <w:r>
                    <w:rPr>
                      <w:rFonts w:ascii="Arial" w:eastAsia="Arial" w:hAnsi="Arial" w:cs="Arial"/>
                      <w:color w:val="000000"/>
                      <w:sz w:val="22"/>
                      <w:szCs w:val="22"/>
                    </w:rPr>
                    <w:t>, N = 212</w:t>
                  </w:r>
                  <w:r>
                    <w:rPr>
                      <w:rFonts w:ascii="Arial" w:eastAsia="Arial" w:hAnsi="Arial" w:cs="Arial"/>
                      <w:color w:val="000000"/>
                      <w:sz w:val="22"/>
                      <w:szCs w:val="22"/>
                      <w:vertAlign w:val="superscript"/>
                    </w:rPr>
                    <w:t>1</w:t>
                  </w:r>
                </w:p>
              </w:tc>
              <w:tc>
                <w:tcPr>
                  <w:tcW w:w="115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D036D5C" w14:textId="77777777" w:rsidR="001C455C"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2016 - 2017</w:t>
                  </w:r>
                  <w:r>
                    <w:rPr>
                      <w:rFonts w:ascii="Arial" w:eastAsia="Arial" w:hAnsi="Arial" w:cs="Arial"/>
                      <w:color w:val="000000"/>
                      <w:sz w:val="22"/>
                      <w:szCs w:val="22"/>
                    </w:rPr>
                    <w:t>, N = 335</w:t>
                  </w:r>
                  <w:r>
                    <w:rPr>
                      <w:rFonts w:ascii="Arial" w:eastAsia="Arial" w:hAnsi="Arial" w:cs="Arial"/>
                      <w:color w:val="000000"/>
                      <w:sz w:val="22"/>
                      <w:szCs w:val="22"/>
                      <w:vertAlign w:val="superscript"/>
                    </w:rPr>
                    <w:t>1</w:t>
                  </w:r>
                </w:p>
              </w:tc>
              <w:tc>
                <w:tcPr>
                  <w:tcW w:w="115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78736B7" w14:textId="77777777" w:rsidR="001C455C"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2017 - 2018</w:t>
                  </w:r>
                  <w:r>
                    <w:rPr>
                      <w:rFonts w:ascii="Arial" w:eastAsia="Arial" w:hAnsi="Arial" w:cs="Arial"/>
                      <w:color w:val="000000"/>
                      <w:sz w:val="22"/>
                      <w:szCs w:val="22"/>
                    </w:rPr>
                    <w:t>, N = 255</w:t>
                  </w:r>
                  <w:r>
                    <w:rPr>
                      <w:rFonts w:ascii="Arial" w:eastAsia="Arial" w:hAnsi="Arial" w:cs="Arial"/>
                      <w:color w:val="000000"/>
                      <w:sz w:val="22"/>
                      <w:szCs w:val="22"/>
                      <w:vertAlign w:val="superscript"/>
                    </w:rPr>
                    <w:t>1</w:t>
                  </w:r>
                </w:p>
              </w:tc>
              <w:tc>
                <w:tcPr>
                  <w:tcW w:w="115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94AF196" w14:textId="77777777" w:rsidR="001C455C"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2018 - 2019</w:t>
                  </w:r>
                  <w:r>
                    <w:rPr>
                      <w:rFonts w:ascii="Arial" w:eastAsia="Arial" w:hAnsi="Arial" w:cs="Arial"/>
                      <w:color w:val="000000"/>
                      <w:sz w:val="22"/>
                      <w:szCs w:val="22"/>
                    </w:rPr>
                    <w:t>, N = 242</w:t>
                  </w:r>
                  <w:r>
                    <w:rPr>
                      <w:rFonts w:ascii="Arial" w:eastAsia="Arial" w:hAnsi="Arial" w:cs="Arial"/>
                      <w:color w:val="000000"/>
                      <w:sz w:val="22"/>
                      <w:szCs w:val="22"/>
                      <w:vertAlign w:val="superscript"/>
                    </w:rPr>
                    <w:t>1</w:t>
                  </w:r>
                </w:p>
              </w:tc>
              <w:tc>
                <w:tcPr>
                  <w:tcW w:w="115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B22B891" w14:textId="77777777" w:rsidR="001C455C"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2019 - 2020</w:t>
                  </w:r>
                  <w:r>
                    <w:rPr>
                      <w:rFonts w:ascii="Arial" w:eastAsia="Arial" w:hAnsi="Arial" w:cs="Arial"/>
                      <w:color w:val="000000"/>
                      <w:sz w:val="22"/>
                      <w:szCs w:val="22"/>
                    </w:rPr>
                    <w:t>, N = 392</w:t>
                  </w:r>
                  <w:r>
                    <w:rPr>
                      <w:rFonts w:ascii="Arial" w:eastAsia="Arial" w:hAnsi="Arial" w:cs="Arial"/>
                      <w:color w:val="000000"/>
                      <w:sz w:val="22"/>
                      <w:szCs w:val="22"/>
                      <w:vertAlign w:val="superscript"/>
                    </w:rPr>
                    <w:t>1</w:t>
                  </w:r>
                </w:p>
              </w:tc>
            </w:tr>
            <w:tr w:rsidR="001C455C" w14:paraId="5AEA0DF4" w14:textId="77777777" w:rsidTr="001C455C">
              <w:trPr>
                <w:jc w:val="center"/>
              </w:trPr>
              <w:tc>
                <w:tcPr>
                  <w:tcW w:w="129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D353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Study</w:t>
                  </w:r>
                </w:p>
              </w:tc>
              <w:tc>
                <w:tcPr>
                  <w:tcW w:w="115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05BB2"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15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AA324"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15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17000"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15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27442"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15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2F406"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15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8612D"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15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4AA67"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C455C" w14:paraId="219D0EC8" w14:textId="77777777" w:rsidTr="001C455C">
              <w:trPr>
                <w:jc w:val="center"/>
              </w:trPr>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62FF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FL</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C01C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 (45%)</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C4B3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150 (63%)</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D56D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130 (61%)</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A41B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125 (37%)</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8C74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0C92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0B99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1C455C" w14:paraId="57F0C479" w14:textId="77777777" w:rsidTr="001C455C">
              <w:trPr>
                <w:jc w:val="center"/>
              </w:trPr>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CCD3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PA</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9D0E3"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 (55%)</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F4B63"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88 (37%)</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BF44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82 (39%)</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6FD1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 (19%)</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754B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9944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AFAB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1C455C" w14:paraId="128B1CBC" w14:textId="77777777" w:rsidTr="001C455C">
              <w:trPr>
                <w:jc w:val="center"/>
              </w:trPr>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E442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UGA</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A539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6324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4C1B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93C9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145 (43%)</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71B6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255 (100%)</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39D2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242 (100%)</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1C83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392 (100%)</w:t>
                  </w:r>
                </w:p>
              </w:tc>
            </w:tr>
            <w:tr w:rsidR="001C455C" w14:paraId="2703DBE1" w14:textId="77777777" w:rsidTr="001C455C">
              <w:trPr>
                <w:jc w:val="center"/>
              </w:trPr>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A0C9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21B2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 (35, 66)</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9863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 (39, 64)</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E789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 (35, 63)</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4404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(27, 60)</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3737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(17, 45)</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227A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(14, 27)</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7EFB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(17, 52)</w:t>
                  </w:r>
                </w:p>
              </w:tc>
            </w:tr>
            <w:tr w:rsidR="001C455C" w14:paraId="2AC34340" w14:textId="77777777" w:rsidTr="001C455C">
              <w:trPr>
                <w:jc w:val="center"/>
              </w:trPr>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71A8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0C9EA"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EE3EE"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B1E11"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D4EB7"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18279"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71415"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A1EFB"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C455C" w14:paraId="7FBE2D77" w14:textId="77777777" w:rsidTr="001C455C">
              <w:trPr>
                <w:jc w:val="center"/>
              </w:trPr>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7AD5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Female</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1BA3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(75%)</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0F6F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172 (72%)</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F43A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159 (75%)</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393B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226 (67%)</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7C8D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142 (56%)</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10B1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137 (57%)</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35E8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232 (59%)</w:t>
                  </w:r>
                </w:p>
              </w:tc>
            </w:tr>
            <w:tr w:rsidR="001C455C" w14:paraId="3C8CF8ED" w14:textId="77777777" w:rsidTr="001C455C">
              <w:trPr>
                <w:jc w:val="center"/>
              </w:trPr>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338E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Male</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B97F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(25%)</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1BD9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 (28%)</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3220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 (25%)</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DF82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109 (33%)</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6E40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113 (44%)</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7199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105 (43%)</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E8EE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160 (41%)</w:t>
                  </w:r>
                </w:p>
              </w:tc>
            </w:tr>
            <w:tr w:rsidR="001C455C" w14:paraId="17959A22" w14:textId="77777777" w:rsidTr="001C455C">
              <w:trPr>
                <w:jc w:val="center"/>
              </w:trPr>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6811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Race</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39697"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4F806"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BB77F"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B819D"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85540"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B63C6"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F6F81"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C455C" w14:paraId="1F90725E" w14:textId="77777777" w:rsidTr="001C455C">
              <w:trPr>
                <w:jc w:val="center"/>
              </w:trPr>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6BDE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White</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01F8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(76%)</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7863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158 (67%)</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4E11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149 (71%)</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C2BE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241 (72%)</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C78F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205 (80%)</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9328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203 (84%)</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3877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324 (83%)</w:t>
                  </w:r>
                </w:p>
              </w:tc>
            </w:tr>
            <w:tr w:rsidR="001C455C" w14:paraId="07DE7CA7" w14:textId="77777777" w:rsidTr="001C455C">
              <w:trPr>
                <w:jc w:val="center"/>
              </w:trPr>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031F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Black</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A15A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(21%)</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D1BE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(19%)</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45943"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(19%)</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1523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 (14%)</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B803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(7.5%)</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18F7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(4.5%)</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9ED3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(8.4%)</w:t>
                  </w:r>
                </w:p>
              </w:tc>
            </w:tr>
            <w:tr w:rsidR="001C455C" w14:paraId="08409CA9" w14:textId="77777777" w:rsidTr="001C455C">
              <w:trPr>
                <w:jc w:val="center"/>
              </w:trPr>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0B71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Hispanic</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C851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(1.5%)</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B4CF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(11%)</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4E97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(8.1%)</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C5DA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(7.2%)</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0D19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(6.3%)</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466B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(4.5%)</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464E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(3.3%)</w:t>
                  </w:r>
                </w:p>
              </w:tc>
            </w:tr>
            <w:tr w:rsidR="001C455C" w14:paraId="60D4DFD8" w14:textId="77777777" w:rsidTr="001C455C">
              <w:trPr>
                <w:jc w:val="center"/>
              </w:trPr>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6BA9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Other</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0F95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(1.5%)</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B3BB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(2.6%)</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E36D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(2.4%)</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AB6C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(6.9%)</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23CD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(5.9%)</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3FFE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(7.0%)</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E3DC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(5.6%)</w:t>
                  </w:r>
                </w:p>
              </w:tc>
            </w:tr>
            <w:tr w:rsidR="001C455C" w14:paraId="7053CE42" w14:textId="77777777" w:rsidTr="001C455C">
              <w:trPr>
                <w:jc w:val="center"/>
              </w:trPr>
              <w:tc>
                <w:tcPr>
                  <w:tcW w:w="129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19C588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15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5FD24E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c>
                <w:tcPr>
                  <w:tcW w:w="115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B7EC243"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w:t>
                  </w:r>
                </w:p>
              </w:tc>
              <w:tc>
                <w:tcPr>
                  <w:tcW w:w="115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8EF4B3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c>
                <w:tcPr>
                  <w:tcW w:w="115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F259D1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c>
                <w:tcPr>
                  <w:tcW w:w="115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108CEA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15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9ECBF3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115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A6FDBE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r>
            <w:tr w:rsidR="001C455C" w14:paraId="1A2533A3" w14:textId="77777777" w:rsidTr="001C455C">
              <w:trPr>
                <w:jc w:val="center"/>
              </w:trPr>
              <w:tc>
                <w:tcPr>
                  <w:tcW w:w="9360" w:type="dxa"/>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A1CB3A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 Median (IQR)</w:t>
                  </w:r>
                </w:p>
              </w:tc>
            </w:tr>
            <w:bookmarkEnd w:id="4"/>
          </w:tbl>
          <w:p w14:paraId="203AB481" w14:textId="77777777" w:rsidR="00000000" w:rsidRDefault="00000000">
            <w:pPr>
              <w:spacing w:after="0"/>
            </w:pPr>
          </w:p>
        </w:tc>
      </w:tr>
    </w:tbl>
    <w:p w14:paraId="2CC79F27" w14:textId="77777777" w:rsidR="001C455C" w:rsidRDefault="00000000">
      <w:r>
        <w:br w:type="page"/>
      </w:r>
    </w:p>
    <w:tbl>
      <w:tblPr>
        <w:tblStyle w:val="Table"/>
        <w:tblW w:w="5000" w:type="pct"/>
        <w:tblLayout w:type="fixed"/>
        <w:tblLook w:val="0000" w:firstRow="0" w:lastRow="0" w:firstColumn="0" w:lastColumn="0" w:noHBand="0" w:noVBand="0"/>
      </w:tblPr>
      <w:tblGrid>
        <w:gridCol w:w="9360"/>
      </w:tblGrid>
      <w:tr w:rsidR="001C455C" w14:paraId="35BE05A1" w14:textId="77777777">
        <w:tc>
          <w:tcPr>
            <w:tcW w:w="7920" w:type="dxa"/>
          </w:tcPr>
          <w:p w14:paraId="01315CBC" w14:textId="77777777" w:rsidR="001C455C" w:rsidRDefault="00000000">
            <w:pPr>
              <w:pStyle w:val="ImageCaption"/>
              <w:spacing w:before="200"/>
            </w:pPr>
            <w:bookmarkStart w:id="5" w:name="tbl-strain-years"/>
            <w:r>
              <w:lastRenderedPageBreak/>
              <w:t>Table 2: Strains used for HAI assays on cohort study samples, and the seasons in which those strains were used.</w:t>
            </w:r>
          </w:p>
          <w:tbl>
            <w:tblPr>
              <w:tblStyle w:val="Table"/>
              <w:tblW w:w="0" w:type="auto"/>
              <w:jc w:val="center"/>
              <w:tblLayout w:type="fixed"/>
              <w:tblLook w:val="0420" w:firstRow="1" w:lastRow="0" w:firstColumn="0" w:lastColumn="0" w:noHBand="0" w:noVBand="1"/>
            </w:tblPr>
            <w:tblGrid>
              <w:gridCol w:w="1152"/>
              <w:gridCol w:w="1037"/>
              <w:gridCol w:w="1037"/>
              <w:gridCol w:w="1037"/>
              <w:gridCol w:w="1037"/>
              <w:gridCol w:w="1037"/>
              <w:gridCol w:w="1037"/>
            </w:tblGrid>
            <w:tr w:rsidR="001C455C" w14:paraId="32629AC3" w14:textId="77777777" w:rsidTr="001C455C">
              <w:trPr>
                <w:cnfStyle w:val="100000000000" w:firstRow="1" w:lastRow="0" w:firstColumn="0" w:lastColumn="0" w:oddVBand="0" w:evenVBand="0" w:oddHBand="0" w:evenHBand="0" w:firstRowFirstColumn="0" w:firstRowLastColumn="0" w:lastRowFirstColumn="0" w:lastRowLastColumn="0"/>
                <w:tblHeader/>
                <w:jc w:val="center"/>
              </w:trPr>
              <w:tc>
                <w:tcPr>
                  <w:tcW w:w="1152"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DBF494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Strain</w:t>
                  </w:r>
                </w:p>
              </w:tc>
              <w:tc>
                <w:tcPr>
                  <w:tcW w:w="1037"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0E6BE0E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14/15</w:t>
                  </w:r>
                </w:p>
              </w:tc>
              <w:tc>
                <w:tcPr>
                  <w:tcW w:w="1037"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B9E9E6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15/16</w:t>
                  </w:r>
                </w:p>
              </w:tc>
              <w:tc>
                <w:tcPr>
                  <w:tcW w:w="1037"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6F2FDBF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16/17</w:t>
                  </w:r>
                </w:p>
              </w:tc>
              <w:tc>
                <w:tcPr>
                  <w:tcW w:w="1037"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1A175B7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17/18</w:t>
                  </w:r>
                </w:p>
              </w:tc>
              <w:tc>
                <w:tcPr>
                  <w:tcW w:w="1037"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0D1BD28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18/19</w:t>
                  </w:r>
                </w:p>
              </w:tc>
              <w:tc>
                <w:tcPr>
                  <w:tcW w:w="1037" w:type="dxa"/>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F6720C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19/20</w:t>
                  </w:r>
                </w:p>
              </w:tc>
            </w:tr>
            <w:tr w:rsidR="001C455C" w14:paraId="219BBF34" w14:textId="77777777" w:rsidTr="001C455C">
              <w:trPr>
                <w:jc w:val="center"/>
              </w:trPr>
              <w:tc>
                <w:tcPr>
                  <w:tcW w:w="1152" w:type="dxa"/>
                  <w:tcBorders>
                    <w:top w:val="single" w:sz="12"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BD8048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SC/18</w:t>
                  </w:r>
                </w:p>
              </w:tc>
              <w:tc>
                <w:tcPr>
                  <w:tcW w:w="1037" w:type="dxa"/>
                  <w:tcBorders>
                    <w:top w:val="single" w:sz="12"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79329923"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12"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2529DBB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12"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51DEA2A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12"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651353E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5F62B"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12"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B41AD21"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394C7953"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F02FD3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Wei/43</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60B9F4B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58EDC52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34B15D9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1360E77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9D7AA2"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F76529F"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4A1F1CA6"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5D73DA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FM/47</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6D64AA4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49E5164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749442F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76DAA94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D83E1"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ED91C4A"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0BAB1146"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69AD703"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Den/57</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1D37453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6C68030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6D48595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0B99258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4125FA"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75AA650"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0A0E928B"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CC2657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NJ/76</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08BBB1E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23A456F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72A9F59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7D40495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4BAA57"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FD28394"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2D85C675"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C18A6C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USSR/77</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08C3EB2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5F21FBF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35CCB5D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09688A9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989C85"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BB94481"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2933D597"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01B35D3"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Bra/78</w:t>
                  </w: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EC7F6C"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E12CAD"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767BB3E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02B2651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CDCAE"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40AB0F8"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61A8499C"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495BDE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CA/78</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3FA200C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4505D52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CEE561"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27429"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6F0C07"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22D5F28"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11E9AF62"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01CDBD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Chi/83</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3E2A656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7B7FFC6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7802BDC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1C385F4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39ABFFB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none" w:sz="0" w:space="0" w:color="000000"/>
                  </w:tcBorders>
                  <w:shd w:val="clear" w:color="auto" w:fill="BEBEBE"/>
                  <w:tcMar>
                    <w:top w:w="0" w:type="dxa"/>
                    <w:left w:w="0" w:type="dxa"/>
                    <w:bottom w:w="0" w:type="dxa"/>
                    <w:right w:w="0" w:type="dxa"/>
                  </w:tcMar>
                  <w:vAlign w:val="center"/>
                </w:tcPr>
                <w:p w14:paraId="167E9A1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r>
            <w:tr w:rsidR="001C455C" w14:paraId="20912736"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CFA0C5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Sing/86</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2FB7E88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3D60601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3553B63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67821D9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05B714B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BA33E12"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30C9FA22"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B9A00F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TX/91</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5E2395A3"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163077F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5C76175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396A46B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3D269ED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DA93E5C"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4909A0BA"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F8DB25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Bei/95</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0A003C4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4614525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14A8C84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2A18F7E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1AEA5EA3"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C3D5C45"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78A3FA04"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167DB5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NC/99</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58571F7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215E867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4259A7E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048BEC0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06EA22C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F451784"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17B291BB"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5BB6E3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SI/06</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427F996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342C0BE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18D2A6A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6450B59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0753B9B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208D3D0"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1E7F892D"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88D6B2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Bris/07</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2453B3A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3A20896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0D45006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2B2E29A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2501575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none" w:sz="0" w:space="0" w:color="000000"/>
                  </w:tcBorders>
                  <w:shd w:val="clear" w:color="auto" w:fill="BEBEBE"/>
                  <w:tcMar>
                    <w:top w:w="0" w:type="dxa"/>
                    <w:left w:w="0" w:type="dxa"/>
                    <w:bottom w:w="0" w:type="dxa"/>
                    <w:right w:w="0" w:type="dxa"/>
                  </w:tcMar>
                  <w:vAlign w:val="center"/>
                </w:tcPr>
                <w:p w14:paraId="3F7FA23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r>
            <w:tr w:rsidR="001C455C" w14:paraId="74F1491B"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DBE51B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CA/09</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2951FFE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49D2DE4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39A69E8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481BFB6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74897DC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none" w:sz="0" w:space="0" w:color="000000"/>
                  </w:tcBorders>
                  <w:shd w:val="clear" w:color="auto" w:fill="BEBEBE"/>
                  <w:tcMar>
                    <w:top w:w="0" w:type="dxa"/>
                    <w:left w:w="0" w:type="dxa"/>
                    <w:bottom w:w="0" w:type="dxa"/>
                    <w:right w:w="0" w:type="dxa"/>
                  </w:tcMar>
                  <w:vAlign w:val="center"/>
                </w:tcPr>
                <w:p w14:paraId="59AA4A4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r>
            <w:tr w:rsidR="001C455C" w14:paraId="2B6C7BDB"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78E888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MI/15</w:t>
                  </w: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192086"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01A153"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4E96D58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0B8A76E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5A016EF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none" w:sz="0" w:space="0" w:color="000000"/>
                  </w:tcBorders>
                  <w:shd w:val="clear" w:color="auto" w:fill="BEBEBE"/>
                  <w:tcMar>
                    <w:top w:w="0" w:type="dxa"/>
                    <w:left w:w="0" w:type="dxa"/>
                    <w:bottom w:w="0" w:type="dxa"/>
                    <w:right w:w="0" w:type="dxa"/>
                  </w:tcMar>
                  <w:vAlign w:val="center"/>
                </w:tcPr>
                <w:p w14:paraId="040ABFC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r>
            <w:tr w:rsidR="001C455C" w14:paraId="61217574"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BD8415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Bris/18</w:t>
                  </w: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50B7EC"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ACAD7A"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880BDE"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C28BA"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F342AF"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none" w:sz="0" w:space="0" w:color="000000"/>
                  </w:tcBorders>
                  <w:shd w:val="clear" w:color="auto" w:fill="BEBEBE"/>
                  <w:tcMar>
                    <w:top w:w="0" w:type="dxa"/>
                    <w:left w:w="0" w:type="dxa"/>
                    <w:bottom w:w="0" w:type="dxa"/>
                    <w:right w:w="0" w:type="dxa"/>
                  </w:tcMar>
                  <w:vAlign w:val="center"/>
                </w:tcPr>
                <w:p w14:paraId="3752089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r>
            <w:tr w:rsidR="001C455C" w14:paraId="35D9536A"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BA3DE1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HK/68</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388C41B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77C1109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44A77E2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689E6DD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E981C4"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92404CF"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3725DA68"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D61D7A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PC/73</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5D9B332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26073BF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7E94147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11E14F9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B6A57A"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8F70272"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533E969A"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2389F8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TX/77</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114CA60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448B40C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2D40D60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2B5FAC2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5D07D4"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C01FC72"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7561C482"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3246F1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MI/85</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47C64A0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1D11C5E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4DE1277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51B3310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6CD9F8"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4F2E5AD"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510FB259"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2BCA4F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Sich/87</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5A1072D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4411776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6D1F264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5F0B520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57664F"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3FCB745"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2CD1B3D1"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239E9D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Shan/93</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62CC60A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55A3C89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075258D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7D26F4B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87DF2F"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989F6E7"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5C6D4104"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3EC1FB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Nan/95</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148A3BB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16220C8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3347C5E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6380ECF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108238"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8609627"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384969CA"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664110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Syd/97</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27EE9DA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0821D9A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15A8471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73BC329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EEBB81"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29C111E"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21C23806"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36C459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Pan/99</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1BB5E50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2C211D0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0D6398A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40E4AD0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1FCE449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none" w:sz="0" w:space="0" w:color="000000"/>
                  </w:tcBorders>
                  <w:shd w:val="clear" w:color="auto" w:fill="BEBEBE"/>
                  <w:tcMar>
                    <w:top w:w="0" w:type="dxa"/>
                    <w:left w:w="0" w:type="dxa"/>
                    <w:bottom w:w="0" w:type="dxa"/>
                    <w:right w:w="0" w:type="dxa"/>
                  </w:tcMar>
                  <w:vAlign w:val="center"/>
                </w:tcPr>
                <w:p w14:paraId="4729983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r>
            <w:tr w:rsidR="001C455C" w14:paraId="5E8AF6F7"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2EC0C2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Fuj/02</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249C1DE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1434BF1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931BA9"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99017B"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DA926A"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82FD854"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08F91215"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43143A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NY/04</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40FD93B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5B19C8B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07354B5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22988AB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510F8D1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CA38A2F"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1BE94D78"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6375D6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WI/05</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25075E5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26B9DC6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434873B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4D8C24B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1468AC1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E9F9A26"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75EDD130"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04DA7C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Uru/07</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1E2A0CB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4E37257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34A4532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1F1665E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3950BA0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8FE1162"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3B640F78"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F7F108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Per/09</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08AAE3A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1EEBCC1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57007893"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481E756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538B77C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87F6C22"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48462021"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8B2548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Vic/11</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3C60672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5962F76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44BACE6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4D8D8CB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4A5C9BB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DCE23F4"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r>
            <w:tr w:rsidR="001C455C" w14:paraId="6DE22128"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54B7FA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TX/12</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7C6E336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2AB7575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569EFC9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2C4E534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53DE8E4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none" w:sz="0" w:space="0" w:color="000000"/>
                  </w:tcBorders>
                  <w:shd w:val="clear" w:color="auto" w:fill="BEBEBE"/>
                  <w:tcMar>
                    <w:top w:w="0" w:type="dxa"/>
                    <w:left w:w="0" w:type="dxa"/>
                    <w:bottom w:w="0" w:type="dxa"/>
                    <w:right w:w="0" w:type="dxa"/>
                  </w:tcMar>
                  <w:vAlign w:val="center"/>
                </w:tcPr>
                <w:p w14:paraId="1C04594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r>
            <w:tr w:rsidR="001C455C" w14:paraId="1D9128BE"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71EDAF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Switz/13</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15C405A3"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1C18FD0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05AEF173"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2371735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52628AA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none" w:sz="0" w:space="0" w:color="000000"/>
                  </w:tcBorders>
                  <w:shd w:val="clear" w:color="auto" w:fill="BEBEBE"/>
                  <w:tcMar>
                    <w:top w:w="0" w:type="dxa"/>
                    <w:left w:w="0" w:type="dxa"/>
                    <w:bottom w:w="0" w:type="dxa"/>
                    <w:right w:w="0" w:type="dxa"/>
                  </w:tcMar>
                  <w:vAlign w:val="center"/>
                </w:tcPr>
                <w:p w14:paraId="296EDFE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r>
            <w:tr w:rsidR="001C455C" w14:paraId="051CB916"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4D4C9D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HK/14</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52509F5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79FCA83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6CCE0BE3"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37AAEF7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33B06BC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none" w:sz="0" w:space="0" w:color="000000"/>
                  </w:tcBorders>
                  <w:shd w:val="clear" w:color="auto" w:fill="BEBEBE"/>
                  <w:tcMar>
                    <w:top w:w="0" w:type="dxa"/>
                    <w:left w:w="0" w:type="dxa"/>
                    <w:bottom w:w="0" w:type="dxa"/>
                    <w:right w:w="0" w:type="dxa"/>
                  </w:tcMar>
                  <w:vAlign w:val="center"/>
                </w:tcPr>
                <w:p w14:paraId="1223DE8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r>
            <w:tr w:rsidR="001C455C" w14:paraId="70A77168"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9F544E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Sing/16</w:t>
                  </w: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6034F2"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DBED26"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259E5A"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5038AA7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single" w:sz="8" w:space="0" w:color="666666"/>
                  </w:tcBorders>
                  <w:shd w:val="clear" w:color="auto" w:fill="BEBEBE"/>
                  <w:tcMar>
                    <w:top w:w="0" w:type="dxa"/>
                    <w:left w:w="0" w:type="dxa"/>
                    <w:bottom w:w="0" w:type="dxa"/>
                    <w:right w:w="0" w:type="dxa"/>
                  </w:tcMar>
                  <w:vAlign w:val="center"/>
                </w:tcPr>
                <w:p w14:paraId="28F0E49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c>
                <w:tcPr>
                  <w:tcW w:w="1037" w:type="dxa"/>
                  <w:tcBorders>
                    <w:top w:val="single" w:sz="8" w:space="0" w:color="666666"/>
                    <w:left w:val="single" w:sz="8" w:space="0" w:color="666666"/>
                    <w:bottom w:val="single" w:sz="8" w:space="0" w:color="666666"/>
                    <w:right w:val="none" w:sz="0" w:space="0" w:color="000000"/>
                  </w:tcBorders>
                  <w:shd w:val="clear" w:color="auto" w:fill="BEBEBE"/>
                  <w:tcMar>
                    <w:top w:w="0" w:type="dxa"/>
                    <w:left w:w="0" w:type="dxa"/>
                    <w:bottom w:w="0" w:type="dxa"/>
                    <w:right w:w="0" w:type="dxa"/>
                  </w:tcMar>
                  <w:vAlign w:val="center"/>
                </w:tcPr>
                <w:p w14:paraId="3C7F09C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r>
            <w:tr w:rsidR="001C455C" w14:paraId="78BC40DE" w14:textId="77777777" w:rsidTr="001C455C">
              <w:trPr>
                <w:jc w:val="center"/>
              </w:trPr>
              <w:tc>
                <w:tcPr>
                  <w:tcW w:w="1152"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2B6999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KS/17</w:t>
                  </w: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01F8A"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69C24"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10F4F5"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9239B6"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BCEBBC"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8" w:space="0" w:color="666666"/>
                    <w:right w:val="none" w:sz="0" w:space="0" w:color="000000"/>
                  </w:tcBorders>
                  <w:shd w:val="clear" w:color="auto" w:fill="BEBEBE"/>
                  <w:tcMar>
                    <w:top w:w="0" w:type="dxa"/>
                    <w:left w:w="0" w:type="dxa"/>
                    <w:bottom w:w="0" w:type="dxa"/>
                    <w:right w:w="0" w:type="dxa"/>
                  </w:tcMar>
                  <w:vAlign w:val="center"/>
                </w:tcPr>
                <w:p w14:paraId="28AC657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r>
            <w:tr w:rsidR="001C455C" w14:paraId="6E9D70D2" w14:textId="77777777" w:rsidTr="001C455C">
              <w:trPr>
                <w:jc w:val="center"/>
              </w:trPr>
              <w:tc>
                <w:tcPr>
                  <w:tcW w:w="1152" w:type="dxa"/>
                  <w:tcBorders>
                    <w:top w:val="single" w:sz="8"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91173E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SA/19</w:t>
                  </w:r>
                </w:p>
              </w:tc>
              <w:tc>
                <w:tcPr>
                  <w:tcW w:w="1037"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D98CE2B"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4A2A329E"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4FE4BFEC"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15A3A97D"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42A9D157" w14:textId="77777777" w:rsidR="001C455C" w:rsidRDefault="001C455C">
                  <w:pPr>
                    <w:pBdr>
                      <w:top w:val="none" w:sz="0" w:space="0" w:color="000000"/>
                      <w:left w:val="none" w:sz="0" w:space="0" w:color="000000"/>
                      <w:bottom w:val="none" w:sz="0" w:space="0" w:color="000000"/>
                      <w:right w:val="none" w:sz="0" w:space="0" w:color="000000"/>
                    </w:pBdr>
                    <w:spacing w:before="100" w:after="100"/>
                    <w:ind w:left="100" w:right="100"/>
                  </w:pPr>
                </w:p>
              </w:tc>
              <w:tc>
                <w:tcPr>
                  <w:tcW w:w="1037" w:type="dxa"/>
                  <w:tcBorders>
                    <w:top w:val="single" w:sz="8" w:space="0" w:color="666666"/>
                    <w:left w:val="single" w:sz="8" w:space="0" w:color="666666"/>
                    <w:bottom w:val="single" w:sz="12" w:space="0" w:color="666666"/>
                    <w:right w:val="none" w:sz="0" w:space="0" w:color="000000"/>
                  </w:tcBorders>
                  <w:shd w:val="clear" w:color="auto" w:fill="BEBEBE"/>
                  <w:tcMar>
                    <w:top w:w="0" w:type="dxa"/>
                    <w:left w:w="0" w:type="dxa"/>
                    <w:bottom w:w="0" w:type="dxa"/>
                    <w:right w:w="0" w:type="dxa"/>
                  </w:tcMar>
                  <w:vAlign w:val="center"/>
                </w:tcPr>
                <w:p w14:paraId="07D0C18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BEBEBE"/>
                      <w:sz w:val="22"/>
                      <w:szCs w:val="22"/>
                    </w:rPr>
                    <w:t>x</w:t>
                  </w:r>
                </w:p>
              </w:tc>
            </w:tr>
            <w:bookmarkEnd w:id="5"/>
          </w:tbl>
          <w:p w14:paraId="28FE1024" w14:textId="77777777" w:rsidR="00000000" w:rsidRDefault="00000000">
            <w:pPr>
              <w:spacing w:after="0"/>
            </w:pPr>
          </w:p>
        </w:tc>
      </w:tr>
    </w:tbl>
    <w:p w14:paraId="55EAAF14" w14:textId="77777777" w:rsidR="001C455C" w:rsidRDefault="00000000">
      <w:r>
        <w:lastRenderedPageBreak/>
        <w:br w:type="page"/>
      </w:r>
    </w:p>
    <w:tbl>
      <w:tblPr>
        <w:tblStyle w:val="Table"/>
        <w:tblW w:w="5000" w:type="pct"/>
        <w:tblLayout w:type="fixed"/>
        <w:tblLook w:val="0000" w:firstRow="0" w:lastRow="0" w:firstColumn="0" w:lastColumn="0" w:noHBand="0" w:noVBand="0"/>
      </w:tblPr>
      <w:tblGrid>
        <w:gridCol w:w="9360"/>
      </w:tblGrid>
      <w:tr w:rsidR="001C455C" w14:paraId="35A8E7E9" w14:textId="77777777">
        <w:tc>
          <w:tcPr>
            <w:tcW w:w="7920" w:type="dxa"/>
          </w:tcPr>
          <w:p w14:paraId="274B77F2" w14:textId="77777777" w:rsidR="001C455C" w:rsidRDefault="00000000">
            <w:pPr>
              <w:pStyle w:val="ImageCaption"/>
              <w:spacing w:before="200"/>
            </w:pPr>
            <w:bookmarkStart w:id="6" w:name="tbl-sequence-numbers"/>
            <w:r>
              <w:lastRenderedPageBreak/>
              <w:t>Table 3: The strains used in the study along with the GISAID or UniProt accession numbers for the protein sequence of the virus stock used in the lab. For one sequence, the full length is not available. The nucleic acid sequences are also available for each of the strains, from the provided sources.</w:t>
            </w:r>
          </w:p>
          <w:tbl>
            <w:tblPr>
              <w:tblStyle w:val="Table"/>
              <w:tblW w:w="0" w:type="auto"/>
              <w:jc w:val="center"/>
              <w:tblLayout w:type="fixed"/>
              <w:tblLook w:val="0420" w:firstRow="1" w:lastRow="0" w:firstColumn="0" w:lastColumn="0" w:noHBand="0" w:noVBand="1"/>
            </w:tblPr>
            <w:tblGrid>
              <w:gridCol w:w="3888"/>
              <w:gridCol w:w="1152"/>
              <w:gridCol w:w="1440"/>
              <w:gridCol w:w="2160"/>
            </w:tblGrid>
            <w:tr w:rsidR="001C455C" w14:paraId="260A294C" w14:textId="77777777" w:rsidTr="001C455C">
              <w:trPr>
                <w:cnfStyle w:val="100000000000" w:firstRow="1" w:lastRow="0" w:firstColumn="0" w:lastColumn="0" w:oddVBand="0" w:evenVBand="0" w:oddHBand="0" w:evenHBand="0" w:firstRowFirstColumn="0" w:firstRowLastColumn="0" w:lastRowFirstColumn="0" w:lastRowLastColumn="0"/>
                <w:tblHeader/>
                <w:jc w:val="center"/>
              </w:trPr>
              <w:tc>
                <w:tcPr>
                  <w:tcW w:w="388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45450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Strain Name</w:t>
                  </w:r>
                </w:p>
              </w:tc>
              <w:tc>
                <w:tcPr>
                  <w:tcW w:w="115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76B7C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75F02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Full Length?</w:t>
                  </w:r>
                </w:p>
              </w:tc>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8B5A0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 Sequence Source</w:t>
                  </w:r>
                </w:p>
              </w:tc>
            </w:tr>
            <w:tr w:rsidR="001C455C" w14:paraId="7798BE8C" w14:textId="77777777" w:rsidTr="001C455C">
              <w:trPr>
                <w:jc w:val="center"/>
              </w:trPr>
              <w:tc>
                <w:tcPr>
                  <w:tcW w:w="388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EFF2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A/H1N1/South Carolina/1/1918</w:t>
                  </w:r>
                </w:p>
              </w:tc>
              <w:tc>
                <w:tcPr>
                  <w:tcW w:w="115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F845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SC/18</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5ADB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7104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Q9WFX3</w:t>
                  </w:r>
                </w:p>
              </w:tc>
            </w:tr>
            <w:tr w:rsidR="001C455C" w14:paraId="09C2F832"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2EEA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A/H1N1/Weiss/43</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9745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2513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218E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Q20N27</w:t>
                  </w:r>
                </w:p>
              </w:tc>
            </w:tr>
            <w:tr w:rsidR="001C455C" w14:paraId="3D9DC256"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83D3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A/H1N1/Fort Monmouth/1/1947</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0BFB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FM/47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7C8C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ECA2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Q84110</w:t>
                  </w:r>
                </w:p>
              </w:tc>
            </w:tr>
            <w:tr w:rsidR="001C455C" w14:paraId="575912D6"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52F5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A/H1N1/Denver/1957</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6DF9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Den/57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DB2A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A722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Q2IBI1</w:t>
                  </w:r>
                </w:p>
              </w:tc>
            </w:tr>
            <w:tr w:rsidR="001C455C" w14:paraId="0EA25BFD"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4741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A/H1N1/New Jersey/8/1976</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634D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NJ/76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6664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DF4B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L0L141</w:t>
                  </w:r>
                </w:p>
              </w:tc>
            </w:tr>
            <w:tr w:rsidR="001C455C" w14:paraId="6D0C93FD"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FB94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A/H1N1/Ussr/90/1977</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38D6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USSR/77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422C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7D46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P03453</w:t>
                  </w:r>
                </w:p>
              </w:tc>
            </w:tr>
            <w:tr w:rsidR="001C455C" w14:paraId="1F074B32"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6349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A/H1N1/Brazil/11/1978</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B68A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Bra/78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9CD0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BEFB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A4GBX7</w:t>
                  </w:r>
                </w:p>
              </w:tc>
            </w:tr>
            <w:tr w:rsidR="001C455C" w14:paraId="706F5278"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C8B3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A/H1N1/California/10/1978</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6875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2E8E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DA6A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A4U6W3</w:t>
                  </w:r>
                </w:p>
              </w:tc>
            </w:tr>
            <w:tr w:rsidR="001C455C" w14:paraId="70BE800F"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BC4E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A/H1N1/Chile/1/1983</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D766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45F4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8FFE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A4GCH5</w:t>
                  </w:r>
                </w:p>
              </w:tc>
            </w:tr>
            <w:tr w:rsidR="001C455C" w14:paraId="2D872C85"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3A74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A/H1N1/Singapore/6/1986</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6058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Sing/86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EA34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A73B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A4GCN0</w:t>
                  </w:r>
                </w:p>
              </w:tc>
            </w:tr>
            <w:tr w:rsidR="001C455C" w14:paraId="571A464E"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3C4C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A/H1N1/Texas/36/1991</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0032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TX/91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6676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9D20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B4UPL3</w:t>
                  </w:r>
                </w:p>
              </w:tc>
            </w:tr>
            <w:tr w:rsidR="001C455C" w14:paraId="44641761"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8055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A/H1N1/Beijing/262/1995</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29143"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Bei/95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B6DF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6602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B4UPF7</w:t>
                  </w:r>
                </w:p>
              </w:tc>
            </w:tr>
            <w:tr w:rsidR="001C455C" w14:paraId="7328CE51"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1C233"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A/H1N1/New Caledonia/20/1999</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3EFD3"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NC/99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44E9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6CD2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Q6WG00</w:t>
                  </w:r>
                </w:p>
              </w:tc>
            </w:tr>
            <w:tr w:rsidR="001C455C" w14:paraId="0EDE8C8E"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FFD5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A/H1N1/Solomon Islands/3/2006</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820C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SI/06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DF7C3"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6D7B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A7Y8I1</w:t>
                  </w:r>
                </w:p>
              </w:tc>
            </w:tr>
            <w:tr w:rsidR="001C455C" w14:paraId="16EFF2CF"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2EDD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A/H1N1/Brisbane/59/2007</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B2B2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Bris/07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3F73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F2CA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D5F1Q8</w:t>
                  </w:r>
                </w:p>
              </w:tc>
            </w:tr>
            <w:tr w:rsidR="001C455C" w14:paraId="48BA682B"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2AC4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A/H1N1/California/07/2009</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787F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7F1B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0AAF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C3W5X2</w:t>
                  </w:r>
                </w:p>
              </w:tc>
            </w:tr>
            <w:tr w:rsidR="001C455C" w14:paraId="1BD7E641"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B0F3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A/H1N1/Michigan 45/2015</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2A5E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3D70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DEDC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A0A144YDV8</w:t>
                  </w:r>
                </w:p>
              </w:tc>
            </w:tr>
            <w:tr w:rsidR="001C455C" w14:paraId="388DF221"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901D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A/H1N1/Brisbane/02/2018</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9423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Bris/18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F1EE3"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0C68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Gisaid: EPI1415369</w:t>
                  </w:r>
                </w:p>
              </w:tc>
            </w:tr>
            <w:tr w:rsidR="001C455C" w14:paraId="159E46C0"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EACD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A/H3N2/Hong Kong/8/1968</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97E3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HK/68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BA9B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BCCD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A6YBG1</w:t>
                  </w:r>
                </w:p>
              </w:tc>
            </w:tr>
            <w:tr w:rsidR="001C455C" w14:paraId="3D0D3A98"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CE3E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A/H3N2/Port Chalmers/1/1973</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0F36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PC/73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7B86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9068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Q1PUD9</w:t>
                  </w:r>
                </w:p>
              </w:tc>
            </w:tr>
            <w:tr w:rsidR="001C455C" w14:paraId="39ACB84B"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DBE4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A/H3N2/Texas/1/1977</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A44B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TX/77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B424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9714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I6RX51</w:t>
                  </w:r>
                </w:p>
              </w:tc>
            </w:tr>
            <w:tr w:rsidR="001C455C" w14:paraId="35EF51AE"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6F1E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A/H3N2/Mississippi/1/1985</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C2BC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73AF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 (17-345AA)</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EFEB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Gisaid: EPI129066; Uniprot: Q67178</w:t>
                  </w:r>
                </w:p>
              </w:tc>
            </w:tr>
            <w:tr w:rsidR="001C455C" w14:paraId="18287C7D"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D62D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A/H3N2/Sichuan/2/1987</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4C74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Sich/87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D3F4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1CD9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H9XCU1</w:t>
                  </w:r>
                </w:p>
              </w:tc>
            </w:tr>
            <w:tr w:rsidR="001C455C" w14:paraId="2FB15885"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C731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A/H3N2/Shangdong/9/1993</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8359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Shan/93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C9B7B"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5650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H9XM74</w:t>
                  </w:r>
                </w:p>
              </w:tc>
            </w:tr>
            <w:tr w:rsidR="001C455C" w14:paraId="624A1282"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DBFC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A/H3N2/Nanchang/933/1995</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330D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Nan/95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5E2D3"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BAB5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H9XED1</w:t>
                  </w:r>
                </w:p>
              </w:tc>
            </w:tr>
            <w:tr w:rsidR="001C455C" w14:paraId="76A9E9FA"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4EB8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A/H3N2/Sydney/5/1997</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B8B6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Syd/97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EE81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9E09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C3PR59</w:t>
                  </w:r>
                </w:p>
              </w:tc>
            </w:tr>
            <w:tr w:rsidR="001C455C" w14:paraId="75E5E60A"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2160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A/H3N2/Panama/2007/1999</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3EE4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Pan/99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8C44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EB15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Q1K9M3</w:t>
                  </w:r>
                </w:p>
              </w:tc>
            </w:tr>
            <w:tr w:rsidR="001C455C" w14:paraId="16AC6E4E"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70E9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A/H3N2/Fujian/411/2002</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75B3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Fuj/02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26AA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33CB3"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H9XEX9</w:t>
                  </w:r>
                </w:p>
              </w:tc>
            </w:tr>
            <w:tr w:rsidR="001C455C" w14:paraId="285C08B9"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0608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A/H3N2/New York/55/2004</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5069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NY/04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ADB5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DAEE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B4UPJ0</w:t>
                  </w:r>
                </w:p>
              </w:tc>
            </w:tr>
            <w:tr w:rsidR="001C455C" w14:paraId="2CE9FBEB"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7602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A/H3N2/Wisconsin/67/2005</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05B7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WI/05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186A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669EA"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W0RXT2</w:t>
                  </w:r>
                </w:p>
              </w:tc>
            </w:tr>
            <w:tr w:rsidR="001C455C" w14:paraId="79EC77C8"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22BE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A/H3N2/Uruguay/716/2007</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B2C5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Uru/07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0BCE7"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BC5B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B2ZV32</w:t>
                  </w:r>
                </w:p>
              </w:tc>
            </w:tr>
            <w:tr w:rsidR="001C455C" w14:paraId="33C1E42C"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C3B5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A/H3N2/Perth/16/2009</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DC3B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AED9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ABD03"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C6KNH7</w:t>
                  </w:r>
                </w:p>
              </w:tc>
            </w:tr>
            <w:tr w:rsidR="001C455C" w14:paraId="479F7984"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B3BC9"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A/H3N2/Victoria/361/2011</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152A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Vic/11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CB93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9758D"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A0A097PF39</w:t>
                  </w:r>
                </w:p>
              </w:tc>
            </w:tr>
            <w:tr w:rsidR="001C455C" w14:paraId="1068AD00"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587E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A/H3N2/Texas/50/2012</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AB52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TX/12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4810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66D3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R4L4F3</w:t>
                  </w:r>
                </w:p>
              </w:tc>
            </w:tr>
            <w:tr w:rsidR="001C455C" w14:paraId="047E8B32"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1A08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A/H3N2/Switzerland/9715293/2013</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9535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Switz/13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EC55C"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6405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Gisaid: EPI530687</w:t>
                  </w:r>
                </w:p>
              </w:tc>
            </w:tr>
            <w:tr w:rsidR="001C455C" w14:paraId="42E06BA8"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EA4E1"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A/H3N2/Hong Kong/4801/2014</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8098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HK/14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360C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59EF8"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Gisaid: EPI834581</w:t>
                  </w:r>
                </w:p>
              </w:tc>
            </w:tr>
            <w:tr w:rsidR="001C455C" w14:paraId="458B8E1D"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EE486"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A/H3N2/Singapore/infimh-16-0019/2016</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1B003"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Sing/16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A39E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D4D4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Gisaid: EPI780183</w:t>
                  </w:r>
                </w:p>
              </w:tc>
            </w:tr>
            <w:tr w:rsidR="001C455C" w14:paraId="13C19A02" w14:textId="77777777" w:rsidTr="001C455C">
              <w:trPr>
                <w:jc w:val="center"/>
              </w:trPr>
              <w:tc>
                <w:tcPr>
                  <w:tcW w:w="38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7D424"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A/H3N2/Kansas/14/2017</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2283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KS/17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EB11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C5550"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UniProt: A0A2L2FM43</w:t>
                  </w:r>
                </w:p>
              </w:tc>
            </w:tr>
            <w:tr w:rsidR="001C455C" w14:paraId="39609231" w14:textId="77777777" w:rsidTr="001C455C">
              <w:trPr>
                <w:jc w:val="center"/>
              </w:trPr>
              <w:tc>
                <w:tcPr>
                  <w:tcW w:w="38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DFE32"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A/H3N2/South Australia/34/2019</w:t>
                  </w:r>
                </w:p>
              </w:tc>
              <w:tc>
                <w:tcPr>
                  <w:tcW w:w="11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4D71DF"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SA/19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164A35"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21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29B70E" w14:textId="77777777" w:rsidR="001C45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Gisaid: EPI1387331</w:t>
                  </w:r>
                </w:p>
              </w:tc>
            </w:tr>
            <w:bookmarkEnd w:id="6"/>
          </w:tbl>
          <w:p w14:paraId="48D53040" w14:textId="77777777" w:rsidR="00000000" w:rsidRDefault="00000000">
            <w:pPr>
              <w:spacing w:after="0"/>
            </w:pPr>
          </w:p>
        </w:tc>
      </w:tr>
    </w:tbl>
    <w:p w14:paraId="2BD59543" w14:textId="77777777" w:rsidR="001C455C" w:rsidRDefault="00000000">
      <w:r>
        <w:lastRenderedPageBreak/>
        <w:br w:type="page"/>
      </w:r>
    </w:p>
    <w:p w14:paraId="3BCBE6FC" w14:textId="77777777" w:rsidR="001C455C" w:rsidRDefault="00000000">
      <w:pPr>
        <w:pStyle w:val="Heading1"/>
      </w:pPr>
      <w:bookmarkStart w:id="7" w:name="references"/>
      <w:bookmarkEnd w:id="3"/>
      <w:r>
        <w:lastRenderedPageBreak/>
        <w:t>References</w:t>
      </w:r>
    </w:p>
    <w:p w14:paraId="18691B81" w14:textId="77777777" w:rsidR="001C455C" w:rsidRDefault="00000000">
      <w:pPr>
        <w:pStyle w:val="Bibliography"/>
      </w:pPr>
      <w:bookmarkStart w:id="8" w:name="ref-kim2018"/>
      <w:bookmarkStart w:id="9" w:name="refs"/>
      <w:r>
        <w:t xml:space="preserve">1. </w:t>
      </w:r>
      <w:r>
        <w:tab/>
        <w:t xml:space="preserve">Kim H, Webster RG, Webby RJ. </w:t>
      </w:r>
      <w:hyperlink r:id="rId7">
        <w:r>
          <w:rPr>
            <w:rStyle w:val="Hyperlink"/>
          </w:rPr>
          <w:t>Influenza Virus: Dealing with a Drifting and Shifting Pathogen</w:t>
        </w:r>
      </w:hyperlink>
      <w:r>
        <w:t xml:space="preserve">. </w:t>
      </w:r>
      <w:r>
        <w:rPr>
          <w:i/>
          <w:iCs/>
        </w:rPr>
        <w:t>Viral Immunology</w:t>
      </w:r>
      <w:r>
        <w:t xml:space="preserve">. 2018;31(2):174–183. </w:t>
      </w:r>
    </w:p>
    <w:p w14:paraId="1350E20F" w14:textId="77777777" w:rsidR="001C455C" w:rsidRDefault="00000000">
      <w:pPr>
        <w:pStyle w:val="Bibliography"/>
      </w:pPr>
      <w:bookmarkStart w:id="10" w:name="ref-erbelding2018"/>
      <w:bookmarkEnd w:id="8"/>
      <w:r>
        <w:t xml:space="preserve">2. </w:t>
      </w:r>
      <w:r>
        <w:tab/>
        <w:t xml:space="preserve">Erbelding EJ, Post DJ, Stemmy EJ, et al. </w:t>
      </w:r>
      <w:hyperlink r:id="rId8">
        <w:r>
          <w:rPr>
            <w:rStyle w:val="Hyperlink"/>
          </w:rPr>
          <w:t>A Universal Influenza Vaccine: The Strategic Plan for the National Institute of Allergy and Infectious Diseases</w:t>
        </w:r>
      </w:hyperlink>
      <w:r>
        <w:t xml:space="preserve">. </w:t>
      </w:r>
      <w:r>
        <w:rPr>
          <w:i/>
          <w:iCs/>
        </w:rPr>
        <w:t>The Journal of Infectious Diseases</w:t>
      </w:r>
      <w:r>
        <w:t xml:space="preserve">. 2018;218(3):347–354. </w:t>
      </w:r>
    </w:p>
    <w:p w14:paraId="20FD03C9" w14:textId="77777777" w:rsidR="001C455C" w:rsidRDefault="00000000">
      <w:pPr>
        <w:pStyle w:val="Bibliography"/>
      </w:pPr>
      <w:bookmarkStart w:id="11" w:name="ref-krammer2019c"/>
      <w:bookmarkEnd w:id="10"/>
      <w:r>
        <w:t xml:space="preserve">3. </w:t>
      </w:r>
      <w:r>
        <w:tab/>
        <w:t xml:space="preserve">Krammer F. </w:t>
      </w:r>
      <w:hyperlink r:id="rId9">
        <w:r>
          <w:rPr>
            <w:rStyle w:val="Hyperlink"/>
          </w:rPr>
          <w:t>The human antibody response to influenza A virus infection and vaccination</w:t>
        </w:r>
      </w:hyperlink>
      <w:r>
        <w:t xml:space="preserve">. </w:t>
      </w:r>
      <w:r>
        <w:rPr>
          <w:i/>
          <w:iCs/>
        </w:rPr>
        <w:t>Nature Reviews. Immunology</w:t>
      </w:r>
      <w:r>
        <w:t xml:space="preserve">. 2019;19(6):383–397. </w:t>
      </w:r>
    </w:p>
    <w:p w14:paraId="2587018D" w14:textId="77777777" w:rsidR="001C455C" w:rsidRDefault="00000000">
      <w:pPr>
        <w:pStyle w:val="Bibliography"/>
      </w:pPr>
      <w:bookmarkStart w:id="12" w:name="ref-allen2021"/>
      <w:bookmarkEnd w:id="11"/>
      <w:r>
        <w:t xml:space="preserve">4. </w:t>
      </w:r>
      <w:r>
        <w:tab/>
        <w:t xml:space="preserve">Allen JD, Ross TM. </w:t>
      </w:r>
      <w:hyperlink r:id="rId10">
        <w:r>
          <w:rPr>
            <w:rStyle w:val="Hyperlink"/>
          </w:rPr>
          <w:t>Evaluation of Next-Generation H3 Influenza Vaccines in Ferrets Pre-Immune to Historical H3N2 Viruses</w:t>
        </w:r>
      </w:hyperlink>
      <w:r>
        <w:t xml:space="preserve">. </w:t>
      </w:r>
      <w:r>
        <w:rPr>
          <w:i/>
          <w:iCs/>
        </w:rPr>
        <w:t>Frontiers in Immunology</w:t>
      </w:r>
      <w:r>
        <w:t xml:space="preserve">. 2021;12:707339. </w:t>
      </w:r>
    </w:p>
    <w:p w14:paraId="4753354B" w14:textId="77777777" w:rsidR="001C455C" w:rsidRDefault="00000000">
      <w:pPr>
        <w:pStyle w:val="Bibliography"/>
      </w:pPr>
      <w:bookmarkStart w:id="13" w:name="ref-dugan2020a"/>
      <w:bookmarkEnd w:id="12"/>
      <w:r>
        <w:t xml:space="preserve">5. </w:t>
      </w:r>
      <w:r>
        <w:tab/>
        <w:t xml:space="preserve">Dugan HL, Guthmiller JJ, Arevalo P, et al. </w:t>
      </w:r>
      <w:hyperlink r:id="rId11">
        <w:r>
          <w:rPr>
            <w:rStyle w:val="Hyperlink"/>
          </w:rPr>
          <w:t>Preexisting immunity shapes distinct antibody landscapes after influenza virus infection and vaccination in humans</w:t>
        </w:r>
      </w:hyperlink>
      <w:r>
        <w:t xml:space="preserve">. </w:t>
      </w:r>
      <w:r>
        <w:rPr>
          <w:i/>
          <w:iCs/>
        </w:rPr>
        <w:t>Science Translational Medicine</w:t>
      </w:r>
      <w:r>
        <w:t xml:space="preserve">. 2020;12(573):eabd3601. </w:t>
      </w:r>
    </w:p>
    <w:p w14:paraId="5E306B7D" w14:textId="77777777" w:rsidR="001C455C" w:rsidRDefault="00000000">
      <w:pPr>
        <w:pStyle w:val="Bibliography"/>
      </w:pPr>
      <w:bookmarkStart w:id="14" w:name="ref-hinojosa2020"/>
      <w:bookmarkEnd w:id="13"/>
      <w:r>
        <w:t xml:space="preserve">6. </w:t>
      </w:r>
      <w:r>
        <w:tab/>
        <w:t xml:space="preserve">Hinojosa M, Shepard SS, Chung JR, et al. </w:t>
      </w:r>
      <w:hyperlink r:id="rId12">
        <w:r>
          <w:rPr>
            <w:rStyle w:val="Hyperlink"/>
          </w:rPr>
          <w:t>Impact of immune priming, vaccination, and infection on influenza A(H3N2) antibody landscapes in children</w:t>
        </w:r>
      </w:hyperlink>
      <w:r>
        <w:t xml:space="preserve">. </w:t>
      </w:r>
      <w:r>
        <w:rPr>
          <w:i/>
          <w:iCs/>
        </w:rPr>
        <w:t>The Journal of Infectious Diseases</w:t>
      </w:r>
      <w:r>
        <w:t>. 2020-10-22, 2020-10;</w:t>
      </w:r>
    </w:p>
    <w:p w14:paraId="0298942C" w14:textId="77777777" w:rsidR="001C455C" w:rsidRDefault="00000000">
      <w:pPr>
        <w:pStyle w:val="Bibliography"/>
      </w:pPr>
      <w:bookmarkStart w:id="15" w:name="ref-li2021"/>
      <w:bookmarkEnd w:id="14"/>
      <w:r>
        <w:t xml:space="preserve">7. </w:t>
      </w:r>
      <w:r>
        <w:tab/>
        <w:t xml:space="preserve">Li Z-N, Liu F, Gross FL, et al. </w:t>
      </w:r>
      <w:hyperlink r:id="rId13">
        <w:r>
          <w:rPr>
            <w:rStyle w:val="Hyperlink"/>
          </w:rPr>
          <w:t>Antibody landscape analysis following influenza vaccination and natural infection in humans with a high-throughput multiplex influenza antibody detection assay</w:t>
        </w:r>
      </w:hyperlink>
      <w:r>
        <w:t xml:space="preserve">. </w:t>
      </w:r>
      <w:r>
        <w:rPr>
          <w:i/>
          <w:iCs/>
        </w:rPr>
        <w:t>mBio</w:t>
      </w:r>
      <w:r>
        <w:t xml:space="preserve">. 2021-02-23, 2021-02;12(1). </w:t>
      </w:r>
    </w:p>
    <w:p w14:paraId="327915D5" w14:textId="77777777" w:rsidR="001C455C" w:rsidRDefault="00000000">
      <w:pPr>
        <w:pStyle w:val="Bibliography"/>
      </w:pPr>
      <w:bookmarkStart w:id="16" w:name="ref-jang2021"/>
      <w:bookmarkEnd w:id="15"/>
      <w:r>
        <w:t xml:space="preserve">8. </w:t>
      </w:r>
      <w:r>
        <w:tab/>
        <w:t xml:space="preserve">Jang H, Ross TM. </w:t>
      </w:r>
      <w:hyperlink r:id="rId14">
        <w:r>
          <w:rPr>
            <w:rStyle w:val="Hyperlink"/>
          </w:rPr>
          <w:t>Hemagglutination Inhibition (HAI) antibody landscapes after vaccination with H7Nx virus like particles</w:t>
        </w:r>
      </w:hyperlink>
      <w:r>
        <w:t xml:space="preserve">. </w:t>
      </w:r>
      <w:r>
        <w:rPr>
          <w:i/>
          <w:iCs/>
        </w:rPr>
        <w:t>PloS One</w:t>
      </w:r>
      <w:r>
        <w:t xml:space="preserve">. 2021;16(3):e0246613. </w:t>
      </w:r>
    </w:p>
    <w:p w14:paraId="6A47488C" w14:textId="77777777" w:rsidR="001C455C" w:rsidRDefault="00000000">
      <w:pPr>
        <w:pStyle w:val="Bibliography"/>
      </w:pPr>
      <w:bookmarkStart w:id="17" w:name="ref-yang2020"/>
      <w:bookmarkEnd w:id="16"/>
      <w:r>
        <w:t xml:space="preserve">9. </w:t>
      </w:r>
      <w:r>
        <w:tab/>
        <w:t xml:space="preserve">Yang B, Lessler J, Zhu H, et al. </w:t>
      </w:r>
      <w:hyperlink r:id="rId15">
        <w:r>
          <w:rPr>
            <w:rStyle w:val="Hyperlink"/>
          </w:rPr>
          <w:t>Life course exposures continually shape antibody profiles and risk of seroconversion to influenza</w:t>
        </w:r>
      </w:hyperlink>
      <w:r>
        <w:t xml:space="preserve">. </w:t>
      </w:r>
      <w:r>
        <w:rPr>
          <w:i/>
          <w:iCs/>
        </w:rPr>
        <w:t>PLOS Pathogens</w:t>
      </w:r>
      <w:r>
        <w:t xml:space="preserve">. 2020;16(7):e1008635. </w:t>
      </w:r>
    </w:p>
    <w:p w14:paraId="4BB70E3B" w14:textId="77777777" w:rsidR="001C455C" w:rsidRDefault="00000000">
      <w:pPr>
        <w:pStyle w:val="Bibliography"/>
      </w:pPr>
      <w:bookmarkStart w:id="18" w:name="ref-auladell2022"/>
      <w:bookmarkEnd w:id="17"/>
      <w:r>
        <w:t xml:space="preserve">10. </w:t>
      </w:r>
      <w:r>
        <w:tab/>
        <w:t xml:space="preserve">Auladell M, Phuong HVM, Mai LTQ, et al. </w:t>
      </w:r>
      <w:hyperlink r:id="rId16">
        <w:r>
          <w:rPr>
            <w:rStyle w:val="Hyperlink"/>
          </w:rPr>
          <w:t>Influenza virus infection history shapes antibody responses to influenza vaccination</w:t>
        </w:r>
      </w:hyperlink>
      <w:r>
        <w:t xml:space="preserve">. </w:t>
      </w:r>
      <w:r>
        <w:rPr>
          <w:i/>
          <w:iCs/>
        </w:rPr>
        <w:t>Nature Medicine</w:t>
      </w:r>
      <w:r>
        <w:t xml:space="preserve">. 2022;28(2):363–372. </w:t>
      </w:r>
    </w:p>
    <w:p w14:paraId="48A9D270" w14:textId="77777777" w:rsidR="001C455C" w:rsidRDefault="00000000">
      <w:pPr>
        <w:pStyle w:val="Bibliography"/>
      </w:pPr>
      <w:bookmarkStart w:id="19" w:name="ref-nunez2017"/>
      <w:bookmarkEnd w:id="18"/>
      <w:r>
        <w:t xml:space="preserve">11. </w:t>
      </w:r>
      <w:r>
        <w:tab/>
        <w:t xml:space="preserve">Nuñez IA, Carlock MA, Allen JD, et al. </w:t>
      </w:r>
      <w:hyperlink r:id="rId17">
        <w:r>
          <w:rPr>
            <w:rStyle w:val="Hyperlink"/>
          </w:rPr>
          <w:t>Impact of age and pre-existing influenza immune responses in humans receiving split inactivated influenza vaccine on the induction of the breadth of antibodies to influenza A strains</w:t>
        </w:r>
      </w:hyperlink>
      <w:r>
        <w:t xml:space="preserve">. </w:t>
      </w:r>
      <w:r>
        <w:rPr>
          <w:i/>
          <w:iCs/>
        </w:rPr>
        <w:t>PloS One</w:t>
      </w:r>
      <w:r>
        <w:t xml:space="preserve">. 2017;12(11):e0185666. </w:t>
      </w:r>
    </w:p>
    <w:p w14:paraId="35FAE6D5" w14:textId="77777777" w:rsidR="001C455C" w:rsidRDefault="00000000">
      <w:pPr>
        <w:pStyle w:val="Bibliography"/>
      </w:pPr>
      <w:bookmarkStart w:id="20" w:name="ref-abreu2020"/>
      <w:bookmarkEnd w:id="19"/>
      <w:r>
        <w:t xml:space="preserve">12. </w:t>
      </w:r>
      <w:r>
        <w:tab/>
        <w:t xml:space="preserve">Abreu RB, Clutter EF, Attari S, et al. </w:t>
      </w:r>
      <w:hyperlink r:id="rId18">
        <w:r>
          <w:rPr>
            <w:rStyle w:val="Hyperlink"/>
          </w:rPr>
          <w:t>IgA Responses Following Recurrent Influenza Virus Vaccination</w:t>
        </w:r>
      </w:hyperlink>
      <w:r>
        <w:t xml:space="preserve">. </w:t>
      </w:r>
      <w:r>
        <w:rPr>
          <w:i/>
          <w:iCs/>
        </w:rPr>
        <w:t>Frontiers in Immunology</w:t>
      </w:r>
      <w:r>
        <w:t xml:space="preserve">. 2020;11. </w:t>
      </w:r>
      <w:bookmarkEnd w:id="7"/>
      <w:bookmarkEnd w:id="9"/>
      <w:bookmarkEnd w:id="20"/>
    </w:p>
    <w:sectPr w:rsidR="001C455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1C11B" w14:textId="77777777" w:rsidR="00DB1923" w:rsidRDefault="00DB1923">
      <w:pPr>
        <w:spacing w:after="0"/>
      </w:pPr>
      <w:r>
        <w:separator/>
      </w:r>
    </w:p>
  </w:endnote>
  <w:endnote w:type="continuationSeparator" w:id="0">
    <w:p w14:paraId="5D5EC21A" w14:textId="77777777" w:rsidR="00DB1923" w:rsidRDefault="00DB19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F1267" w14:textId="77777777" w:rsidR="00DB1923" w:rsidRDefault="00DB1923">
      <w:r>
        <w:separator/>
      </w:r>
    </w:p>
  </w:footnote>
  <w:footnote w:type="continuationSeparator" w:id="0">
    <w:p w14:paraId="4252E7AE" w14:textId="77777777" w:rsidR="00DB1923" w:rsidRDefault="00DB19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E5665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06608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5C"/>
    <w:rsid w:val="001C455C"/>
    <w:rsid w:val="007E6E77"/>
    <w:rsid w:val="00DB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95F2CE"/>
  <w15:docId w15:val="{589B7616-9F04-4BBF-8C99-4E2689641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infdis/jiy103" TargetMode="External"/><Relationship Id="rId13" Type="http://schemas.openxmlformats.org/officeDocument/2006/relationships/hyperlink" Target="https://doi.org/10.1128/mbio.02808-20" TargetMode="External"/><Relationship Id="rId18" Type="http://schemas.openxmlformats.org/officeDocument/2006/relationships/hyperlink" Target="https://doi.org/10.3389/fimmu.2020.00902" TargetMode="External"/><Relationship Id="rId3" Type="http://schemas.openxmlformats.org/officeDocument/2006/relationships/settings" Target="settings.xml"/><Relationship Id="rId7" Type="http://schemas.openxmlformats.org/officeDocument/2006/relationships/hyperlink" Target="https://doi.org/10.1089/vim.2017.0141" TargetMode="External"/><Relationship Id="rId12" Type="http://schemas.openxmlformats.org/officeDocument/2006/relationships/hyperlink" Target="https://doi.org/10.1093/infdis/jiaa665" TargetMode="External"/><Relationship Id="rId17" Type="http://schemas.openxmlformats.org/officeDocument/2006/relationships/hyperlink" Target="https://doi.org/10.1371/journal.pone.0185666" TargetMode="External"/><Relationship Id="rId2" Type="http://schemas.openxmlformats.org/officeDocument/2006/relationships/styles" Target="styles.xml"/><Relationship Id="rId16" Type="http://schemas.openxmlformats.org/officeDocument/2006/relationships/hyperlink" Target="https://doi.org/10.1038/s41591-022-01690-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26/scitranslmed.abd3601" TargetMode="External"/><Relationship Id="rId5" Type="http://schemas.openxmlformats.org/officeDocument/2006/relationships/footnotes" Target="footnotes.xml"/><Relationship Id="rId15" Type="http://schemas.openxmlformats.org/officeDocument/2006/relationships/hyperlink" Target="https://doi.org/10.1371/journal.ppat.1008635" TargetMode="External"/><Relationship Id="rId10" Type="http://schemas.openxmlformats.org/officeDocument/2006/relationships/hyperlink" Target="https://doi.org/10.3389/fimmu.2021.70733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38/s41577-019-0143-6" TargetMode="External"/><Relationship Id="rId14" Type="http://schemas.openxmlformats.org/officeDocument/2006/relationships/hyperlink" Target="https://doi.org/10.1371/journal.pone.0246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2385</Words>
  <Characters>12905</Characters>
  <Application>Microsoft Office Word</Application>
  <DocSecurity>0</DocSecurity>
  <Lines>860</Lines>
  <Paragraphs>637</Paragraphs>
  <ScaleCrop>false</ScaleCrop>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antigenic distance metrics for influenza against genetic and antigenic history</dc:title>
  <dc:creator>W. Zane Billings;Amanda Skarlupka;Lambodhar Damodaran;Justin Bahl;Andreas Handel</dc:creator>
  <cp:keywords/>
  <cp:lastModifiedBy>Wesley Billings</cp:lastModifiedBy>
  <cp:revision>1</cp:revision>
  <dcterms:created xsi:type="dcterms:W3CDTF">2024-03-13T15:54:00Z</dcterms:created>
  <dcterms:modified xsi:type="dcterms:W3CDTF">2024-03-13T16:13:00Z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Midterm-Refs.bib</vt:lpwstr>
  </property>
  <property fmtid="{D5CDD505-2E9C-101B-9397-08002B2CF9AE}" pid="5" name="by-author">
    <vt:lpwstr/>
  </property>
  <property fmtid="{D5CDD505-2E9C-101B-9397-08002B2CF9AE}" pid="6" name="csl">
    <vt:lpwstr>aje.csl</vt:lpwstr>
  </property>
  <property fmtid="{D5CDD505-2E9C-101B-9397-08002B2CF9AE}" pid="7" name="date">
    <vt:lpwstr>2024-03-13</vt:lpwstr>
  </property>
  <property fmtid="{D5CDD505-2E9C-101B-9397-08002B2CF9AE}" pid="8" name="date-format">
    <vt:lpwstr>iso</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EPID 8200 project proposal</vt:lpwstr>
  </property>
  <property fmtid="{D5CDD505-2E9C-101B-9397-08002B2CF9AE}" pid="15" name="toc-title">
    <vt:lpwstr>Table of contents</vt:lpwstr>
  </property>
  <property fmtid="{D5CDD505-2E9C-101B-9397-08002B2CF9AE}" pid="16" name="GrammarlyDocumentId">
    <vt:lpwstr>03bf42d4-78c7-48dc-ad33-83f9cfbfe6e3</vt:lpwstr>
  </property>
</Properties>
</file>