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Comparing</w:t>
      </w:r>
      <w:r>
        <w:t xml:space="preserve"> </w:t>
      </w:r>
      <w:r>
        <w:t xml:space="preserve">antigenic</w:t>
      </w:r>
      <w:r>
        <w:t xml:space="preserve"> </w:t>
      </w:r>
      <w:r>
        <w:t xml:space="preserve">distance</w:t>
      </w:r>
      <w:r>
        <w:t xml:space="preserve"> </w:t>
      </w:r>
      <w:r>
        <w:t xml:space="preserve">metrics</w:t>
      </w:r>
      <w:r>
        <w:t xml:space="preserve"> </w:t>
      </w:r>
      <w:r>
        <w:t xml:space="preserve">for</w:t>
      </w:r>
      <w:r>
        <w:t xml:space="preserve"> </w:t>
      </w:r>
      <w:r>
        <w:t xml:space="preserve">influenza</w:t>
      </w:r>
    </w:p>
    <w:p>
      <w:pPr>
        <w:pStyle w:val="Subtitle"/>
      </w:pPr>
      <w:r>
        <w:t xml:space="preserve">EPID</w:t>
      </w:r>
      <w:r>
        <w:t xml:space="preserve"> </w:t>
      </w:r>
      <w:r>
        <w:t xml:space="preserve">8200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W.</w:t>
      </w:r>
      <w:r>
        <w:t xml:space="preserve"> </w:t>
      </w:r>
      <w:r>
        <w:t xml:space="preserve">Zane</w:t>
      </w:r>
      <w:r>
        <w:t xml:space="preserve"> </w:t>
      </w:r>
      <w:r>
        <w:t xml:space="preserve">Billings</w:t>
      </w:r>
    </w:p>
    <w:p>
      <w:pPr>
        <w:pStyle w:val="Date"/>
      </w:pPr>
      <w:r>
        <w:t xml:space="preserve">2024-05-05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Put</w:t>
      </w:r>
      <w:r>
        <w:t xml:space="preserve"> </w:t>
      </w:r>
      <w:r>
        <w:t xml:space="preserve">the</w:t>
      </w:r>
      <w:r>
        <w:t xml:space="preserve"> </w:t>
      </w:r>
      <w:r>
        <w:t xml:space="preserve">50</w:t>
      </w:r>
      <w:r>
        <w:t xml:space="preserve"> </w:t>
      </w:r>
      <w:r>
        <w:t xml:space="preserve">words</w:t>
      </w:r>
      <w:r>
        <w:t xml:space="preserve"> </w:t>
      </w:r>
      <w:r>
        <w:t xml:space="preserve">abstract</w:t>
      </w:r>
      <w:r>
        <w:t xml:space="preserve"> </w:t>
      </w:r>
      <w:r>
        <w:t xml:space="preserve">here</w:t>
      </w:r>
    </w:p>
    <w:p>
      <w:pPr>
        <w:pStyle w:val="FirstParagraph"/>
      </w:pPr>
      <w:r>
        <w:t xml:space="preserve">Influenza A virus causes seasonal epidemics worldwide, primarily driven by</w:t>
      </w:r>
      <w:r>
        <w:t xml:space="preserve"> </w:t>
      </w:r>
      <w:r>
        <w:t xml:space="preserve">continual evolution of the virus under selective pressure by host immunity</w:t>
      </w:r>
      <w:r>
        <w:t xml:space="preserve"> </w:t>
      </w:r>
      <w:r>
        <w:t xml:space="preserve">[1]</w:t>
      </w:r>
      <w:r>
        <w:t xml:space="preserve">. Development of a universal influenza vaccine which can protect</w:t>
      </w:r>
      <w:r>
        <w:t xml:space="preserve"> </w:t>
      </w:r>
      <w:r>
        <w:t xml:space="preserve">against novel strains of influenza has many challenges, including surveillence</w:t>
      </w:r>
      <w:r>
        <w:t xml:space="preserve"> </w:t>
      </w:r>
      <w:r>
        <w:t xml:space="preserve">of new genomic variants and predicting which will be successful</w:t>
      </w:r>
      <w:r>
        <w:t xml:space="preserve"> </w:t>
      </w:r>
      <w:r>
        <w:t xml:space="preserve">[2]</w:t>
      </w:r>
      <w:r>
        <w:t xml:space="preserve">. Statistical modeling and phylodynamic approaches are crucial</w:t>
      </w:r>
      <w:r>
        <w:t xml:space="preserve"> </w:t>
      </w:r>
      <w:r>
        <w:t xml:space="preserve">tools in the development of a more broadly-protective influenza vaccine, but</w:t>
      </w:r>
      <w:r>
        <w:t xml:space="preserve"> </w:t>
      </w:r>
      <w:r>
        <w:t xml:space="preserve">these methods rely on understanding how different each genomic variant of</w:t>
      </w:r>
      <w:r>
        <w:t xml:space="preserve"> </w:t>
      </w:r>
      <w:r>
        <w:t xml:space="preserve">influenza actually is from its predecessors</w:t>
      </w:r>
      <w:r>
        <w:t xml:space="preserve"> </w:t>
      </w:r>
      <w:r>
        <w:t xml:space="preserve">[3,</w:t>
      </w:r>
      <w:r>
        <w:rPr>
          <w:bCs/>
          <w:b/>
        </w:rPr>
        <w:t xml:space="preserve">viboud2020?</w:t>
      </w:r>
      <w:r>
        <w:t xml:space="preserve">]</w:t>
      </w:r>
      <w:r>
        <w:t xml:space="preserve">.</w:t>
      </w:r>
    </w:p>
    <w:p>
      <w:pPr>
        <w:pStyle w:val="BodyText"/>
      </w:pPr>
      <w:r>
        <w:t xml:space="preserve">Many different metrics for assessing the antigenic difference between two</w:t>
      </w:r>
      <w:r>
        <w:t xml:space="preserve"> </w:t>
      </w:r>
      <w:r>
        <w:t xml:space="preserve">influenza strains currently exist, including phylogenetic methods</w:t>
      </w:r>
      <w:r>
        <w:t xml:space="preserve"> </w:t>
      </w:r>
      <w:r>
        <w:t xml:space="preserve">[4]</w:t>
      </w:r>
      <w:r>
        <w:t xml:space="preserve">, methods based on sequence differences</w:t>
      </w:r>
      <w:r>
        <w:t xml:space="preserve"> </w:t>
      </w:r>
      <w:r>
        <w:t xml:space="preserve">[5,</w:t>
      </w:r>
      <w:r>
        <w:rPr>
          <w:bCs/>
          <w:b/>
        </w:rPr>
        <w:t xml:space="preserve">anderson2018?</w:t>
      </w:r>
      <w:r>
        <w:t xml:space="preserve">]</w:t>
      </w:r>
      <w:r>
        <w:t xml:space="preserve">, and methods like antigenic cartrography which are based on observed</w:t>
      </w:r>
      <w:r>
        <w:t xml:space="preserve"> </w:t>
      </w:r>
      <w:r>
        <w:t xml:space="preserve">immune responses</w:t>
      </w:r>
      <w:r>
        <w:t xml:space="preserve"> </w:t>
      </w:r>
      <w:r>
        <w:t xml:space="preserve">[6]</w:t>
      </w:r>
      <w:r>
        <w:t xml:space="preserve">. To understand the agreement in phylogenetic</w:t>
      </w:r>
      <w:r>
        <w:t xml:space="preserve"> </w:t>
      </w:r>
      <w:r>
        <w:t xml:space="preserve">and sequence-based approaches for determining the distance between influenza</w:t>
      </w:r>
      <w:r>
        <w:t xml:space="preserve"> </w:t>
      </w:r>
      <w:r>
        <w:t xml:space="preserve">strains, we obtained data from an ongoing prospective, open cohort study that</w:t>
      </w:r>
      <w:r>
        <w:t xml:space="preserve"> </w:t>
      </w:r>
      <w:r>
        <w:t xml:space="preserve">has been previously described</w:t>
      </w:r>
      <w:r>
        <w:t xml:space="preserve"> </w:t>
      </w:r>
      <w:r>
        <w:t xml:space="preserve">[7,</w:t>
      </w:r>
      <w:r>
        <w:rPr>
          <w:bCs/>
          <w:b/>
        </w:rPr>
        <w:t xml:space="preserve">abreau2020?</w:t>
      </w:r>
      <w:r>
        <w:t xml:space="preserve">]</w:t>
      </w:r>
      <w:r>
        <w:t xml:space="preserve">. Using laboratory data</w:t>
      </w:r>
      <w:r>
        <w:t xml:space="preserve"> </w:t>
      </w:r>
      <w:r>
        <w:t xml:space="preserve">from this study, we were able to compare antigenic cartography based on a panel</w:t>
      </w:r>
      <w:r>
        <w:t xml:space="preserve"> </w:t>
      </w:r>
      <w:r>
        <w:t xml:space="preserve">of hemagglutination inhibition (HAI) titers to phylogenetic methods.</w:t>
      </w:r>
    </w:p>
    <w:bookmarkStart w:id="20" w:name="the-study"/>
    <w:p>
      <w:pPr>
        <w:pStyle w:val="Heading1"/>
      </w:pPr>
      <w:r>
        <w:t xml:space="preserve">The Study</w:t>
      </w:r>
    </w:p>
    <w:p>
      <w:pPr>
        <w:pStyle w:val="FirstParagraph"/>
      </w:pPr>
      <w:r>
        <w:t xml:space="preserve">Briefly, our study data</w:t>
      </w:r>
      <w:r>
        <w:t xml:space="preserve"> </w:t>
      </w:r>
      <w:r>
        <w:t xml:space="preserve">[7,</w:t>
      </w:r>
      <w:r>
        <w:rPr>
          <w:bCs/>
          <w:b/>
        </w:rPr>
        <w:t xml:space="preserve">abreau2020?</w:t>
      </w:r>
      <w:r>
        <w:t xml:space="preserve">]</w:t>
      </w:r>
      <w:r>
        <w:t xml:space="preserve"> </w:t>
      </w:r>
      <w:r>
        <w:t xml:space="preserve">consisted of volunteers</w:t>
      </w:r>
      <w:r>
        <w:t xml:space="preserve"> </w:t>
      </w:r>
      <w:r>
        <w:t xml:space="preserve">enrolled at three different study sites from 2013 – 2019 who received a</w:t>
      </w:r>
      <w:r>
        <w:t xml:space="preserve"> </w:t>
      </w:r>
      <w:r>
        <w:t xml:space="preserve">FluZone (Sanofi Pasteur) vaccine, and gave pre-vaccination and post-vaccination</w:t>
      </w:r>
      <w:r>
        <w:t xml:space="preserve"> </w:t>
      </w:r>
      <w:r>
        <w:t xml:space="preserve">(21 or 28 day) serum samples. The serum samples were used for HAI assays against</w:t>
      </w:r>
      <w:r>
        <w:t xml:space="preserve"> </w:t>
      </w:r>
      <w:r>
        <w:t xml:space="preserve">a panel of historical viruses. We computed the Hamming distance</w:t>
      </w:r>
      <w:r>
        <w:t xml:space="preserve"> </w:t>
      </w:r>
      <w:r>
        <w:t xml:space="preserve">[</w:t>
      </w:r>
      <w:r>
        <w:rPr>
          <w:bCs/>
          <w:b/>
        </w:rPr>
        <w:t xml:space="preserve">anderson2018?</w:t>
      </w:r>
      <w:r>
        <w:t xml:space="preserve">]</w:t>
      </w:r>
      <w:r>
        <w:t xml:space="preserve">,</w:t>
      </w:r>
      <w:r>
        <w:t xml:space="preserve"> </w:t>
      </w:r>
      <m:oMath>
        <m:r>
          <m:t>p</m:t>
        </m:r>
      </m:oMath>
      <w:r>
        <w:t xml:space="preserve">-Epitope distance</w:t>
      </w:r>
      <w:r>
        <w:t xml:space="preserve"> </w:t>
      </w:r>
      <w:r>
        <w:t xml:space="preserve">[5]</w:t>
      </w:r>
      <w:r>
        <w:t xml:space="preserve">, and the absolute difference in the year of</w:t>
      </w:r>
      <w:r>
        <w:t xml:space="preserve"> </w:t>
      </w:r>
      <w:r>
        <w:t xml:space="preserve">isolation of strains</w:t>
      </w:r>
      <w:r>
        <w:t xml:space="preserve"> </w:t>
      </w:r>
      <w:r>
        <w:t xml:space="preserve">[8]</w:t>
      </w:r>
      <w:r>
        <w:t xml:space="preserve"> </w:t>
      </w:r>
      <w:r>
        <w:t xml:space="preserve">from the sequences of all influenza</w:t>
      </w:r>
      <w:r>
        <w:t xml:space="preserve"> </w:t>
      </w:r>
      <w:r>
        <w:t xml:space="preserve">viruses used for HAI assays, and used Racmacs to compute antigenic cartography</w:t>
      </w:r>
      <w:r>
        <w:t xml:space="preserve"> </w:t>
      </w:r>
      <w:r>
        <w:t xml:space="preserve">distances from the HAI data</w:t>
      </w:r>
      <w:r>
        <w:t xml:space="preserve"> </w:t>
      </w:r>
      <w:r>
        <w:t xml:space="preserve">[9]</w:t>
      </w:r>
      <w:r>
        <w:t xml:space="preserve">. All of our analyses were conducted</w:t>
      </w:r>
      <w:r>
        <w:t xml:space="preserve"> </w:t>
      </w:r>
      <w:r>
        <w:t xml:space="preserve">separately for H1N1 and H3N2 strains.</w:t>
      </w:r>
    </w:p>
    <w:p>
      <w:pPr>
        <w:pStyle w:val="BodyText"/>
      </w:pPr>
      <w:r>
        <w:t xml:space="preserve">In order to compare with phylogenetic methods, we first computed a multiple</w:t>
      </w:r>
      <w:r>
        <w:t xml:space="preserve"> </w:t>
      </w:r>
      <w:r>
        <w:t xml:space="preserve">sequence alignment (MSA) using the MUSCLE algorithm</w:t>
      </w:r>
      <w:r>
        <w:t xml:space="preserve"> </w:t>
      </w:r>
      <w:r>
        <w:t xml:space="preserve">[10]</w:t>
      </w:r>
      <w:r>
        <w:t xml:space="preserve">. The Hamming and</w:t>
      </w:r>
      <w:r>
        <w:t xml:space="preserve"> </w:t>
      </w:r>
      <m:oMath>
        <m:r>
          <m:t>p</m:t>
        </m:r>
      </m:oMath>
      <w:r>
        <w:t xml:space="preserve">-Epitope distances were computed based on this MSA. In total, we had 18</w:t>
      </w:r>
      <w:r>
        <w:t xml:space="preserve"> </w:t>
      </w:r>
      <w:r>
        <w:t xml:space="preserve">H1N1 strains and 21 H3N2 strains which were aligned separately. We then used</w:t>
      </w:r>
      <w:r>
        <w:t xml:space="preserve"> </w:t>
      </w:r>
      <w:r>
        <w:t xml:space="preserve">both alignments to construct maximum likelihood unrooted phylogenetic trees using</w:t>
      </w:r>
      <w:r>
        <w:t xml:space="preserve"> </w:t>
      </w:r>
      <w:r>
        <w:t xml:space="preserve">the FLU amino acid substitution model. We extracted the conphenetic distances</w:t>
      </w:r>
      <w:r>
        <w:t xml:space="preserve"> </w:t>
      </w:r>
      <w:r>
        <w:t xml:space="preserve">between taxa from the ML trees, and compared these distances to each of our</w:t>
      </w:r>
      <w:r>
        <w:t xml:space="preserve"> </w:t>
      </w:r>
      <w:r>
        <w:t xml:space="preserve">other four distance metrics (temporal, Hamming,</w:t>
      </w:r>
      <w:r>
        <w:t xml:space="preserve"> </w:t>
      </w:r>
      <m:oMath>
        <m:r>
          <m:t>p</m:t>
        </m:r>
      </m:oMath>
      <w:r>
        <w:t xml:space="preserve">-Epitope, and cartography) using Pearson’s correlation.</w:t>
      </w:r>
    </w:p>
    <w:p>
      <w:pPr>
        <w:pStyle w:val="BodyText"/>
      </w:pPr>
      <w:r>
        <w:t xml:space="preserve">For each of the four distance metrics, we also built distance-based trees using</w:t>
      </w:r>
      <w:r>
        <w:t xml:space="preserve"> </w:t>
      </w:r>
      <w:r>
        <w:t xml:space="preserve">neighbor joining. To compare the methods, we calculated the likelihood of each</w:t>
      </w:r>
      <w:r>
        <w:t xml:space="preserve"> </w:t>
      </w:r>
      <w:r>
        <w:t xml:space="preserve">of the distance-based trees under the same ML framework, then estimated the</w:t>
      </w:r>
      <w:r>
        <w:t xml:space="preserve"> </w:t>
      </w:r>
      <w:r>
        <w:t xml:space="preserve">Shimodaira-Hasegawa test statistic (with one million bootstrap resamples) to</w:t>
      </w:r>
      <w:r>
        <w:t xml:space="preserve"> </w:t>
      </w:r>
      <w:r>
        <w:t xml:space="preserve">compare each of the distance trees to the ML tree. Finally, we computed the</w:t>
      </w:r>
      <w:r>
        <w:t xml:space="preserve"> </w:t>
      </w:r>
      <w:r>
        <w:t xml:space="preserve">Robinson-Foulds distance between each set of trees. Our analyses were implented</w:t>
      </w:r>
      <w:r>
        <w:t xml:space="preserve"> </w:t>
      </w:r>
      <w:r>
        <w:t xml:space="preserve">with R version 4.3.3 (2024-02-29 ucrt)</w:t>
      </w:r>
      <w:r>
        <w:t xml:space="preserve"> </w:t>
      </w:r>
      <w:r>
        <w:t xml:space="preserve">[11]</w:t>
      </w:r>
      <w:r>
        <w:t xml:space="preserve"> </w:t>
      </w:r>
      <w:r>
        <w:t xml:space="preserve">using the packages</w:t>
      </w:r>
      <w:r>
        <w:t xml:space="preserve"> </w:t>
      </w:r>
      <w:r>
        <w:rPr>
          <w:rStyle w:val="VerbatimChar"/>
        </w:rPr>
        <w:t xml:space="preserve">phangorn</w:t>
      </w:r>
      <w:r>
        <w:t xml:space="preserve"> </w:t>
      </w:r>
      <w:r>
        <w:t xml:space="preserve">[12]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msa</w:t>
      </w:r>
      <w:r>
        <w:t xml:space="preserve"> </w:t>
      </w:r>
      <w:r>
        <w:t xml:space="preserve">[13]</w:t>
      </w:r>
      <w:r>
        <w:t xml:space="preserve">.</w:t>
      </w:r>
    </w:p>
    <w:p>
      <w:pPr>
        <w:pStyle w:val="BodyText"/>
      </w:pPr>
      <w:r>
        <w:t xml:space="preserve">Figure 1: correlation plot between distance metrics, show pearson and spearman</w:t>
      </w:r>
      <w:r>
        <w:t xml:space="preserve"> </w:t>
      </w:r>
      <w:r>
        <w:t xml:space="preserve">correlations</w:t>
      </w:r>
    </w:p>
    <w:p>
      <w:pPr>
        <w:pStyle w:val="BodyText"/>
      </w:pPr>
      <w:r>
        <w:t xml:space="preserve">Figure 2: main trees</w:t>
      </w:r>
      <w:r>
        <w:t xml:space="preserve"> </w:t>
      </w:r>
      <w:r>
        <w:t xml:space="preserve">Panel A: ML tree, panel B: 4 subpanels with the distance trees, if it fits.</w:t>
      </w:r>
      <w:r>
        <w:t xml:space="preserve"> </w:t>
      </w:r>
      <w:r>
        <w:t xml:space="preserve">Otherwise we have space for one more figure.</w:t>
      </w:r>
    </w:p>
    <w:p>
      <w:pPr>
        <w:pStyle w:val="BodyText"/>
      </w:pPr>
      <w:r>
        <w:t xml:space="preserve">Table 1: table of tree similarity and LRT values</w:t>
      </w:r>
    </w:p>
    <w:bookmarkEnd w:id="20"/>
    <w:bookmarkStart w:id="21" w:name="conclusions"/>
    <w:p>
      <w:pPr>
        <w:pStyle w:val="Heading1"/>
      </w:pPr>
      <w:r>
        <w:t xml:space="preserve">Conclusions</w:t>
      </w:r>
    </w:p>
    <w:bookmarkEnd w:id="21"/>
    <w:bookmarkStart w:id="22" w:name="acknowledgement"/>
    <w:p>
      <w:pPr>
        <w:pStyle w:val="Heading1"/>
      </w:pPr>
      <w:r>
        <w:t xml:space="preserve">Acknowledgement</w:t>
      </w:r>
    </w:p>
    <w:bookmarkEnd w:id="22"/>
    <w:bookmarkStart w:id="48" w:name="references"/>
    <w:p>
      <w:pPr>
        <w:pStyle w:val="Heading1"/>
      </w:pPr>
      <w:r>
        <w:t xml:space="preserve">References</w:t>
      </w:r>
    </w:p>
    <w:bookmarkStart w:id="47" w:name="refs"/>
    <w:bookmarkStart w:id="24" w:name="ref-kim2018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Kim H, Webster RG, Webby RJ. Influenza</w:t>
      </w:r>
      <w:r>
        <w:t xml:space="preserve"> </w:t>
      </w:r>
      <w:r>
        <w:t xml:space="preserve">Virus</w:t>
      </w:r>
      <w:r>
        <w:t xml:space="preserve">:</w:t>
      </w:r>
      <w:r>
        <w:t xml:space="preserve"> </w:t>
      </w:r>
      <w:r>
        <w:t xml:space="preserve">Dealing</w:t>
      </w:r>
      <w:r>
        <w:t xml:space="preserve"> </w:t>
      </w:r>
      <w:r>
        <w:t xml:space="preserve">with a</w:t>
      </w:r>
      <w:r>
        <w:t xml:space="preserve"> </w:t>
      </w:r>
      <w:r>
        <w:t xml:space="preserve">Drifting</w:t>
      </w:r>
      <w:r>
        <w:t xml:space="preserve"> </w:t>
      </w:r>
      <w:r>
        <w:t xml:space="preserve">and</w:t>
      </w:r>
      <w:r>
        <w:t xml:space="preserve"> </w:t>
      </w:r>
      <w:r>
        <w:t xml:space="preserve">Shifting Pathogen</w:t>
      </w:r>
      <w:r>
        <w:t xml:space="preserve">. Viral Immunology. 2018;31: 174–183. doi:</w:t>
      </w:r>
      <w:hyperlink r:id="rId23">
        <w:r>
          <w:rPr>
            <w:rStyle w:val="Hyperlink"/>
          </w:rPr>
          <w:t xml:space="preserve">10.1089/vim.2017.0141</w:t>
        </w:r>
      </w:hyperlink>
    </w:p>
    <w:bookmarkEnd w:id="24"/>
    <w:bookmarkStart w:id="26" w:name="ref-erbelding2018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Erbelding EJ, Post DJ, Stemmy EJ, Roberts PC, Augustine AD, Ferguson S, et al. A</w:t>
      </w:r>
      <w:r>
        <w:t xml:space="preserve"> </w:t>
      </w:r>
      <w:r>
        <w:t xml:space="preserve">Universal Influenza Vaccine</w:t>
      </w:r>
      <w:r>
        <w:t xml:space="preserve">:</w:t>
      </w:r>
      <w:r>
        <w:t xml:space="preserve"> </w:t>
      </w:r>
      <w:r>
        <w:t xml:space="preserve">The Strategic Plan</w:t>
      </w:r>
      <w:r>
        <w:t xml:space="preserve"> </w:t>
      </w:r>
      <w:r>
        <w:t xml:space="preserve">for the</w:t>
      </w:r>
      <w:r>
        <w:t xml:space="preserve"> </w:t>
      </w:r>
      <w:r>
        <w:t xml:space="preserve">National Institute</w:t>
      </w:r>
      <w:r>
        <w:t xml:space="preserve"> </w:t>
      </w:r>
      <w:r>
        <w:t xml:space="preserve">of</w:t>
      </w:r>
      <w:r>
        <w:t xml:space="preserve"> </w:t>
      </w:r>
      <w:r>
        <w:t xml:space="preserve">Allergy</w:t>
      </w:r>
      <w:r>
        <w:t xml:space="preserve"> </w:t>
      </w:r>
      <w:r>
        <w:t xml:space="preserve">and</w:t>
      </w:r>
      <w:r>
        <w:t xml:space="preserve"> </w:t>
      </w:r>
      <w:r>
        <w:t xml:space="preserve">Infectious Diseases</w:t>
      </w:r>
      <w:r>
        <w:t xml:space="preserve">. The Journal of Infectious Diseases. 2018;218: 347–354. doi:</w:t>
      </w:r>
      <w:hyperlink r:id="rId25">
        <w:r>
          <w:rPr>
            <w:rStyle w:val="Hyperlink"/>
          </w:rPr>
          <w:t xml:space="preserve">10.1093/infdis/jiy103</w:t>
        </w:r>
      </w:hyperlink>
    </w:p>
    <w:bookmarkEnd w:id="26"/>
    <w:bookmarkStart w:id="28" w:name="ref-krammer2018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Krammer F, Smith GJD, Fouchier RAM, Peiris M, Kedzierska K, Doherty PC, et al. Influenza. Nature Reviews Disease Primers. 2018;4: 1–21. doi:</w:t>
      </w:r>
      <w:hyperlink r:id="rId27">
        <w:r>
          <w:rPr>
            <w:rStyle w:val="Hyperlink"/>
          </w:rPr>
          <w:t xml:space="preserve">10.1038/s41572-018-0002-y</w:t>
        </w:r>
      </w:hyperlink>
    </w:p>
    <w:bookmarkEnd w:id="28"/>
    <w:bookmarkStart w:id="30" w:name="ref-durviaux2014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Durviaux S, Treanor J, Beran J, Duval X, Esen M, Feldman G, et al. Genetic and</w:t>
      </w:r>
      <w:r>
        <w:t xml:space="preserve"> </w:t>
      </w:r>
      <w:r>
        <w:t xml:space="preserve">Antigenic Typing</w:t>
      </w:r>
      <w:r>
        <w:t xml:space="preserve"> </w:t>
      </w:r>
      <w:r>
        <w:t xml:space="preserve">of</w:t>
      </w:r>
      <w:r>
        <w:t xml:space="preserve"> </w:t>
      </w:r>
      <w:r>
        <w:t xml:space="preserve">Seasonal Influenza Virus Breakthrough Cases</w:t>
      </w:r>
      <w:r>
        <w:t xml:space="preserve"> </w:t>
      </w:r>
      <w:r>
        <w:t xml:space="preserve">from a 2008-2009</w:t>
      </w:r>
      <w:r>
        <w:t xml:space="preserve"> </w:t>
      </w:r>
      <w:r>
        <w:t xml:space="preserve">Vaccine Efficacy Trial</w:t>
      </w:r>
      <w:r>
        <w:t xml:space="preserve">. Clinical and Vaccine Immunology. 2014;21: 271–279. doi:</w:t>
      </w:r>
      <w:hyperlink r:id="rId29">
        <w:r>
          <w:rPr>
            <w:rStyle w:val="Hyperlink"/>
          </w:rPr>
          <w:t xml:space="preserve">10.1128/CVI.00544-13</w:t>
        </w:r>
      </w:hyperlink>
    </w:p>
    <w:bookmarkEnd w:id="30"/>
    <w:bookmarkStart w:id="32" w:name="ref-gupta2006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Gupta V, Earl DJ, Deem MW. Quantifying influenza vaccine efficacy and antigenic distance. Vaccine. 2006;24: 3881–3888. doi:</w:t>
      </w:r>
      <w:hyperlink r:id="rId31">
        <w:r>
          <w:rPr>
            <w:rStyle w:val="Hyperlink"/>
          </w:rPr>
          <w:t xml:space="preserve">10.1016/j.vaccine.2006.01.010</w:t>
        </w:r>
      </w:hyperlink>
    </w:p>
    <w:bookmarkEnd w:id="32"/>
    <w:bookmarkStart w:id="34" w:name="ref-fonville2016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Fonville JM, Fraaij PLA, de Mutsert G, Wilks SH, van Beek R, Fouchier RAM, et al. Antigenic</w:t>
      </w:r>
      <w:r>
        <w:t xml:space="preserve"> </w:t>
      </w:r>
      <w:r>
        <w:t xml:space="preserve">Maps</w:t>
      </w:r>
      <w:r>
        <w:t xml:space="preserve"> </w:t>
      </w:r>
      <w:r>
        <w:t xml:space="preserve">of</w:t>
      </w:r>
      <w:r>
        <w:t xml:space="preserve"> </w:t>
      </w:r>
      <w:r>
        <w:t xml:space="preserve">Influenza A</w:t>
      </w:r>
      <w:r>
        <w:t xml:space="preserve">(</w:t>
      </w:r>
      <w:r>
        <w:t xml:space="preserve">H3N2</w:t>
      </w:r>
      <w:r>
        <w:t xml:space="preserve">)</w:t>
      </w:r>
      <w:r>
        <w:t xml:space="preserve"> </w:t>
      </w:r>
      <w:r>
        <w:t xml:space="preserve">Produced With Human Antisera Obtained After Primary Infection</w:t>
      </w:r>
      <w:r>
        <w:t xml:space="preserve">. The Journal of Infectious Diseases. 2016;213: 31–38. doi:</w:t>
      </w:r>
      <w:hyperlink r:id="rId33">
        <w:r>
          <w:rPr>
            <w:rStyle w:val="Hyperlink"/>
          </w:rPr>
          <w:t xml:space="preserve">10.1093/infdis/jiv367</w:t>
        </w:r>
      </w:hyperlink>
    </w:p>
    <w:bookmarkEnd w:id="34"/>
    <w:bookmarkStart w:id="36" w:name="ref-nunez2017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Nuñez IA, Carlock MA, Allen JD, Owino SO, Moehling KK, Nowalk P, et al. Impact of age and pre-existing influenza immune responses in humans receiving split inactivated influenza vaccine on the induction of the breadth of antibodies to influenza</w:t>
      </w:r>
      <w:r>
        <w:t xml:space="preserve"> </w:t>
      </w:r>
      <w:r>
        <w:t xml:space="preserve">A</w:t>
      </w:r>
      <w:r>
        <w:t xml:space="preserve"> </w:t>
      </w:r>
      <w:r>
        <w:t xml:space="preserve">strains. PloS One. 2017;12: e0185666. doi:</w:t>
      </w:r>
      <w:hyperlink r:id="rId35">
        <w:r>
          <w:rPr>
            <w:rStyle w:val="Hyperlink"/>
          </w:rPr>
          <w:t xml:space="preserve">10.1371/journal.pone.0185666</w:t>
        </w:r>
      </w:hyperlink>
    </w:p>
    <w:bookmarkEnd w:id="36"/>
    <w:bookmarkStart w:id="38" w:name="ref-auladell2022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Auladell M, Phuong HVM, Mai LTQ, Tseng Y-Y, Carolan L, Wilks S, et al. Influenza virus infection history shapes antibody responses to influenza vaccination. Nature Medicine. 2022;28: 363–372. doi:</w:t>
      </w:r>
      <w:hyperlink r:id="rId37">
        <w:r>
          <w:rPr>
            <w:rStyle w:val="Hyperlink"/>
          </w:rPr>
          <w:t xml:space="preserve">10.1038/s41591-022-01690-w</w:t>
        </w:r>
      </w:hyperlink>
    </w:p>
    <w:bookmarkEnd w:id="38"/>
    <w:bookmarkStart w:id="39" w:name="ref-wilks2023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Wilks S. Racmacs:</w:t>
      </w:r>
      <w:r>
        <w:t xml:space="preserve"> </w:t>
      </w:r>
      <w:r>
        <w:t xml:space="preserve">Antigenic</w:t>
      </w:r>
      <w:r>
        <w:t xml:space="preserve"> </w:t>
      </w:r>
      <w:r>
        <w:t xml:space="preserve">cartography macros. 2023.</w:t>
      </w:r>
      <w:r>
        <w:t xml:space="preserve"> </w:t>
      </w:r>
    </w:p>
    <w:bookmarkEnd w:id="39"/>
    <w:bookmarkStart w:id="41" w:name="ref-edgar2004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Edgar RC.</w:t>
      </w:r>
      <w:r>
        <w:t xml:space="preserve"> </w:t>
      </w:r>
      <w:r>
        <w:t xml:space="preserve">MUSCLE</w:t>
      </w:r>
      <w:r>
        <w:t xml:space="preserve">: A multiple sequence alignment method with reduced time and space complexity. BMC Bioinformatics. 2004;5: 113. doi:</w:t>
      </w:r>
      <w:hyperlink r:id="rId40">
        <w:r>
          <w:rPr>
            <w:rStyle w:val="Hyperlink"/>
          </w:rPr>
          <w:t xml:space="preserve">10.1186/1471-2105-5-113</w:t>
        </w:r>
      </w:hyperlink>
    </w:p>
    <w:bookmarkEnd w:id="41"/>
    <w:bookmarkStart w:id="42" w:name="ref-rcoreteam2024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R Core Team. R: A language and environment for statistical computing. Vienna, Austria: R Foundation for Statistical Computing; 2024.</w:t>
      </w:r>
      <w:r>
        <w:t xml:space="preserve"> </w:t>
      </w:r>
    </w:p>
    <w:bookmarkEnd w:id="42"/>
    <w:bookmarkStart w:id="44" w:name="ref-schliep2011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Schliep KP. Phangorn: Phylogenetic analysis in</w:t>
      </w:r>
      <w:r>
        <w:t xml:space="preserve"> </w:t>
      </w:r>
      <w:r>
        <w:t xml:space="preserve">R</w:t>
      </w:r>
      <w:r>
        <w:t xml:space="preserve">. Bioinformatics (Oxford, England). 2011;27: 592–593. doi:</w:t>
      </w:r>
      <w:hyperlink r:id="rId43">
        <w:r>
          <w:rPr>
            <w:rStyle w:val="Hyperlink"/>
          </w:rPr>
          <w:t xml:space="preserve">10.1093/bioinformatics/btq706</w:t>
        </w:r>
      </w:hyperlink>
    </w:p>
    <w:bookmarkEnd w:id="44"/>
    <w:bookmarkStart w:id="46" w:name="ref-bodenhofer2015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Bodenhofer U, Bonatesta E, Horejš-Kainrath C, Hochreiter S. Msa: An</w:t>
      </w:r>
      <w:r>
        <w:t xml:space="preserve"> </w:t>
      </w:r>
      <w:r>
        <w:t xml:space="preserve">R</w:t>
      </w:r>
      <w:r>
        <w:t xml:space="preserve"> </w:t>
      </w:r>
      <w:r>
        <w:t xml:space="preserve">package for multiple sequence alignment. Bioinformatics. 2015;31: 3997–3999. doi:</w:t>
      </w:r>
      <w:hyperlink r:id="rId45">
        <w:r>
          <w:rPr>
            <w:rStyle w:val="Hyperlink"/>
          </w:rPr>
          <w:t xml:space="preserve">10.1093/bioinformatics/btv494</w:t>
        </w:r>
      </w:hyperlink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doi.org/10.1016/j.vaccine.2006.01.010" TargetMode="External" /><Relationship Type="http://schemas.openxmlformats.org/officeDocument/2006/relationships/hyperlink" Id="rId27" Target="https://doi.org/10.1038/s41572-018-0002-y" TargetMode="External" /><Relationship Type="http://schemas.openxmlformats.org/officeDocument/2006/relationships/hyperlink" Id="rId37" Target="https://doi.org/10.1038/s41591-022-01690-w" TargetMode="External" /><Relationship Type="http://schemas.openxmlformats.org/officeDocument/2006/relationships/hyperlink" Id="rId23" Target="https://doi.org/10.1089/vim.2017.0141" TargetMode="External" /><Relationship Type="http://schemas.openxmlformats.org/officeDocument/2006/relationships/hyperlink" Id="rId43" Target="https://doi.org/10.1093/bioinformatics/btq706" TargetMode="External" /><Relationship Type="http://schemas.openxmlformats.org/officeDocument/2006/relationships/hyperlink" Id="rId45" Target="https://doi.org/10.1093/bioinformatics/btv494" TargetMode="External" /><Relationship Type="http://schemas.openxmlformats.org/officeDocument/2006/relationships/hyperlink" Id="rId33" Target="https://doi.org/10.1093/infdis/jiv367" TargetMode="External" /><Relationship Type="http://schemas.openxmlformats.org/officeDocument/2006/relationships/hyperlink" Id="rId25" Target="https://doi.org/10.1093/infdis/jiy103" TargetMode="External" /><Relationship Type="http://schemas.openxmlformats.org/officeDocument/2006/relationships/hyperlink" Id="rId29" Target="https://doi.org/10.1128/CVI.00544-13" TargetMode="External" /><Relationship Type="http://schemas.openxmlformats.org/officeDocument/2006/relationships/hyperlink" Id="rId40" Target="https://doi.org/10.1186/1471-2105-5-113" TargetMode="External" /><Relationship Type="http://schemas.openxmlformats.org/officeDocument/2006/relationships/hyperlink" Id="rId35" Target="https://doi.org/10.1371/journal.pone.018566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i.org/10.1016/j.vaccine.2006.01.010" TargetMode="External" /><Relationship Type="http://schemas.openxmlformats.org/officeDocument/2006/relationships/hyperlink" Id="rId27" Target="https://doi.org/10.1038/s41572-018-0002-y" TargetMode="External" /><Relationship Type="http://schemas.openxmlformats.org/officeDocument/2006/relationships/hyperlink" Id="rId37" Target="https://doi.org/10.1038/s41591-022-01690-w" TargetMode="External" /><Relationship Type="http://schemas.openxmlformats.org/officeDocument/2006/relationships/hyperlink" Id="rId23" Target="https://doi.org/10.1089/vim.2017.0141" TargetMode="External" /><Relationship Type="http://schemas.openxmlformats.org/officeDocument/2006/relationships/hyperlink" Id="rId43" Target="https://doi.org/10.1093/bioinformatics/btq706" TargetMode="External" /><Relationship Type="http://schemas.openxmlformats.org/officeDocument/2006/relationships/hyperlink" Id="rId45" Target="https://doi.org/10.1093/bioinformatics/btv494" TargetMode="External" /><Relationship Type="http://schemas.openxmlformats.org/officeDocument/2006/relationships/hyperlink" Id="rId33" Target="https://doi.org/10.1093/infdis/jiv367" TargetMode="External" /><Relationship Type="http://schemas.openxmlformats.org/officeDocument/2006/relationships/hyperlink" Id="rId25" Target="https://doi.org/10.1093/infdis/jiy103" TargetMode="External" /><Relationship Type="http://schemas.openxmlformats.org/officeDocument/2006/relationships/hyperlink" Id="rId29" Target="https://doi.org/10.1128/CVI.00544-13" TargetMode="External" /><Relationship Type="http://schemas.openxmlformats.org/officeDocument/2006/relationships/hyperlink" Id="rId40" Target="https://doi.org/10.1186/1471-2105-5-113" TargetMode="External" /><Relationship Type="http://schemas.openxmlformats.org/officeDocument/2006/relationships/hyperlink" Id="rId35" Target="https://doi.org/10.1371/journal.pone.018566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Comparing antigenic distance metrics for influenza</dc:title>
  <dc:creator>W. Zane Billings</dc:creator>
  <cp:keywords/>
  <dcterms:created xsi:type="dcterms:W3CDTF">2024-05-05T20:19:48Z</dcterms:created>
  <dcterms:modified xsi:type="dcterms:W3CDTF">2024-05-05T20:19:48Z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Put the 50 words abstract here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project-refs.bib</vt:lpwstr>
  </property>
  <property fmtid="{D5CDD505-2E9C-101B-9397-08002B2CF9AE}" pid="6" name="by-author">
    <vt:lpwstr/>
  </property>
  <property fmtid="{D5CDD505-2E9C-101B-9397-08002B2CF9AE}" pid="7" name="csl">
    <vt:lpwstr>plos-computational-biology.csl</vt:lpwstr>
  </property>
  <property fmtid="{D5CDD505-2E9C-101B-9397-08002B2CF9AE}" pid="8" name="date">
    <vt:lpwstr>2024-05-05</vt:lpwstr>
  </property>
  <property fmtid="{D5CDD505-2E9C-101B-9397-08002B2CF9AE}" pid="9" name="date-format">
    <vt:lpwstr>iso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subtitle">
    <vt:lpwstr>EPID 8200 project</vt:lpwstr>
  </property>
  <property fmtid="{D5CDD505-2E9C-101B-9397-08002B2CF9AE}" pid="15" name="toc-title">
    <vt:lpwstr>Table of contents</vt:lpwstr>
  </property>
</Properties>
</file>