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tiff" ContentType="image/tiff"/>
  <Override PartName="/word/media/rId21.tiff" ContentType="image/tiff"/>
  <Override PartName="/word/media/rId24.tiff" ContentType="image/tiff"/>
  <Override PartName="/word/media/rId32.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Symptom</w:t>
      </w:r>
      <w:r>
        <w:t xml:space="preserve"> </w:t>
      </w:r>
      <w:r>
        <w:t xml:space="preserve">Agreement</w:t>
      </w:r>
      <w:r>
        <w:t xml:space="preserve"> </w:t>
      </w:r>
      <w:r>
        <w:t xml:space="preserve">Project</w:t>
      </w:r>
      <w:r>
        <w:t xml:space="preserve"> </w:t>
      </w:r>
      <w:r>
        <w:t xml:space="preserve">Report</w:t>
      </w:r>
    </w:p>
    <w:p>
      <w:pPr>
        <w:pStyle w:val="Author"/>
      </w:pPr>
      <w:r>
        <w:t xml:space="preserve">W.</w:t>
      </w:r>
      <w:r>
        <w:t xml:space="preserve"> </w:t>
      </w:r>
      <w:r>
        <w:t xml:space="preserve">Zane</w:t>
      </w:r>
      <w:r>
        <w:t xml:space="preserve"> </w:t>
      </w:r>
      <w:r>
        <w:t xml:space="preserve">Billings,</w:t>
      </w:r>
      <w:r>
        <w:t xml:space="preserve"> </w:t>
      </w:r>
      <w:r>
        <w:t xml:space="preserve">Annika</w:t>
      </w:r>
      <w:r>
        <w:t xml:space="preserve"> </w:t>
      </w:r>
      <w:r>
        <w:t xml:space="preserve">Cleven,</w:t>
      </w:r>
      <w:r>
        <w:t xml:space="preserve"> </w:t>
      </w:r>
      <w:r>
        <w:t xml:space="preserve">Jacqueline</w:t>
      </w:r>
      <w:r>
        <w:t xml:space="preserve"> </w:t>
      </w:r>
      <w:r>
        <w:t xml:space="preserve">Dworaczyk,</w:t>
      </w:r>
      <w:r>
        <w:t xml:space="preserve"> </w:t>
      </w:r>
      <w:r>
        <w:t xml:space="preserve">Brian</w:t>
      </w:r>
      <w:r>
        <w:t xml:space="preserve"> </w:t>
      </w:r>
      <w:r>
        <w:t xml:space="preserve">McKay,</w:t>
      </w:r>
      <w:r>
        <w:t xml:space="preserve"> </w:t>
      </w:r>
      <w:r>
        <w:t xml:space="preserve">Ariella</w:t>
      </w:r>
      <w:r>
        <w:t xml:space="preserve"> </w:t>
      </w:r>
      <w:r>
        <w:t xml:space="preserve">Perry</w:t>
      </w:r>
      <w:r>
        <w:t xml:space="preserve"> </w:t>
      </w:r>
      <w:r>
        <w:t xml:space="preserve">Dale,</w:t>
      </w:r>
      <w:r>
        <w:t xml:space="preserve"> </w:t>
      </w:r>
      <w:r>
        <w:t xml:space="preserve">Mark</w:t>
      </w:r>
      <w:r>
        <w:t xml:space="preserve"> </w:t>
      </w:r>
      <w:r>
        <w:t xml:space="preserve">Ebell,</w:t>
      </w:r>
      <w:r>
        <w:t xml:space="preserve"> </w:t>
      </w:r>
      <w:r>
        <w:t xml:space="preserve">Andreas</w:t>
      </w:r>
      <w:r>
        <w:t xml:space="preserve"> </w:t>
      </w:r>
      <w:r>
        <w:t xml:space="preserve">Handel</w:t>
      </w:r>
    </w:p>
    <w:p>
      <w:pPr>
        <w:pStyle w:val="Abstract"/>
      </w:pPr>
      <w:r>
        <w:t xml:space="preserve">This</w:t>
      </w:r>
      <w:r>
        <w:t xml:space="preserve"> </w:t>
      </w:r>
      <w:r>
        <w:t xml:space="preserve">is</w:t>
      </w:r>
      <w:r>
        <w:t xml:space="preserve"> </w:t>
      </w:r>
      <w:r>
        <w:t xml:space="preserve">a</w:t>
      </w:r>
      <w:r>
        <w:t xml:space="preserve"> </w:t>
      </w:r>
      <w:r>
        <w:t xml:space="preserve">complete</w:t>
      </w:r>
      <w:r>
        <w:t xml:space="preserve"> </w:t>
      </w:r>
      <w:r>
        <w:t xml:space="preserve">write-up</w:t>
      </w:r>
      <w:r>
        <w:t xml:space="preserve"> </w:t>
      </w:r>
      <w:r>
        <w:t xml:space="preserve">of</w:t>
      </w:r>
      <w:r>
        <w:t xml:space="preserve"> </w:t>
      </w:r>
      <w:r>
        <w:t xml:space="preserve">all</w:t>
      </w:r>
      <w:r>
        <w:t xml:space="preserve"> </w:t>
      </w:r>
      <w:r>
        <w:t xml:space="preserve">the</w:t>
      </w:r>
      <w:r>
        <w:t xml:space="preserve"> </w:t>
      </w:r>
      <w:r>
        <w:t xml:space="preserve">work</w:t>
      </w:r>
      <w:r>
        <w:t xml:space="preserve"> </w:t>
      </w:r>
      <w:r>
        <w:t xml:space="preserve">that</w:t>
      </w:r>
      <w:r>
        <w:t xml:space="preserve"> </w:t>
      </w:r>
      <w:r>
        <w:t xml:space="preserve">was</w:t>
      </w:r>
      <w:r>
        <w:t xml:space="preserve"> </w:t>
      </w:r>
      <w:r>
        <w:t xml:space="preserve">done</w:t>
      </w:r>
      <w:r>
        <w:t xml:space="preserve"> </w:t>
      </w:r>
      <w:r>
        <w:t xml:space="preserve">as</w:t>
      </w:r>
      <w:r>
        <w:t xml:space="preserve"> </w:t>
      </w:r>
      <w:r>
        <w:t xml:space="preserve">part</w:t>
      </w:r>
      <w:r>
        <w:t xml:space="preserve"> </w:t>
      </w:r>
      <w:r>
        <w:t xml:space="preserve">of</w:t>
      </w:r>
      <w:r>
        <w:t xml:space="preserve"> </w:t>
      </w:r>
      <w:r>
        <w:t xml:space="preserve">the</w:t>
      </w:r>
      <w:r>
        <w:t xml:space="preserve"> </w:t>
      </w:r>
      <w:r>
        <w:t xml:space="preserve">Symptom</w:t>
      </w:r>
      <w:r>
        <w:t xml:space="preserve"> </w:t>
      </w:r>
      <w:r>
        <w:t xml:space="preserve">Agreement</w:t>
      </w:r>
      <w:r>
        <w:t xml:space="preserve"> </w:t>
      </w:r>
      <w:r>
        <w:t xml:space="preserve">project.</w:t>
      </w:r>
      <w:r>
        <w:t xml:space="preserve"> </w:t>
      </w:r>
      <w:r>
        <w:t xml:space="preserve">I</w:t>
      </w:r>
      <w:r>
        <w:t xml:space="preserve"> </w:t>
      </w:r>
      <w:r>
        <w:t xml:space="preserve">(Zane)</w:t>
      </w:r>
      <w:r>
        <w:t xml:space="preserve"> </w:t>
      </w:r>
      <w:r>
        <w:t xml:space="preserve">was</w:t>
      </w:r>
      <w:r>
        <w:t xml:space="preserve"> </w:t>
      </w:r>
      <w:r>
        <w:t xml:space="preserve">having</w:t>
      </w:r>
      <w:r>
        <w:t xml:space="preserve"> </w:t>
      </w:r>
      <w:r>
        <w:t xml:space="preserve">trouble</w:t>
      </w:r>
      <w:r>
        <w:t xml:space="preserve"> </w:t>
      </w:r>
      <w:r>
        <w:t xml:space="preserve">writing</w:t>
      </w:r>
      <w:r>
        <w:t xml:space="preserve"> </w:t>
      </w:r>
      <w:r>
        <w:t xml:space="preserve">the</w:t>
      </w:r>
      <w:r>
        <w:t xml:space="preserve"> </w:t>
      </w:r>
      <w:r>
        <w:t xml:space="preserve">manuscript,</w:t>
      </w:r>
      <w:r>
        <w:t xml:space="preserve"> </w:t>
      </w:r>
      <w:r>
        <w:t xml:space="preserve">so</w:t>
      </w:r>
      <w:r>
        <w:t xml:space="preserve"> </w:t>
      </w:r>
      <w:r>
        <w:t xml:space="preserve">decided</w:t>
      </w:r>
      <w:r>
        <w:t xml:space="preserve"> </w:t>
      </w:r>
      <w:r>
        <w:t xml:space="preserve">to</w:t>
      </w:r>
      <w:r>
        <w:t xml:space="preserve"> </w:t>
      </w:r>
      <w:r>
        <w:t xml:space="preserve">complete</w:t>
      </w:r>
      <w:r>
        <w:t xml:space="preserve"> </w:t>
      </w:r>
      <w:r>
        <w:t xml:space="preserve">a</w:t>
      </w:r>
      <w:r>
        <w:t xml:space="preserve"> </w:t>
      </w:r>
      <w:r>
        <w:t xml:space="preserve">full</w:t>
      </w:r>
      <w:r>
        <w:t xml:space="preserve"> </w:t>
      </w:r>
      <w:r>
        <w:t xml:space="preserve">writeup</w:t>
      </w:r>
      <w:r>
        <w:t xml:space="preserve"> </w:t>
      </w:r>
      <w:r>
        <w:t xml:space="preserve">of</w:t>
      </w:r>
      <w:r>
        <w:t xml:space="preserve"> </w:t>
      </w:r>
      <w:r>
        <w:t xml:space="preserve">all</w:t>
      </w:r>
      <w:r>
        <w:t xml:space="preserve"> </w:t>
      </w:r>
      <w:r>
        <w:t xml:space="preserve">of</w:t>
      </w:r>
      <w:r>
        <w:t xml:space="preserve"> </w:t>
      </w:r>
      <w:r>
        <w:t xml:space="preserve">our</w:t>
      </w:r>
      <w:r>
        <w:t xml:space="preserve"> </w:t>
      </w:r>
      <w:r>
        <w:t xml:space="preserve">results</w:t>
      </w:r>
      <w:r>
        <w:t xml:space="preserve"> </w:t>
      </w:r>
      <w:r>
        <w:t xml:space="preserve">and</w:t>
      </w:r>
      <w:r>
        <w:t xml:space="preserve"> </w:t>
      </w:r>
      <w:r>
        <w:t xml:space="preserve">methods</w:t>
      </w:r>
      <w:r>
        <w:t xml:space="preserve"> </w:t>
      </w:r>
      <w:r>
        <w:t xml:space="preserve">while</w:t>
      </w:r>
      <w:r>
        <w:t xml:space="preserve"> </w:t>
      </w:r>
      <w:r>
        <w:t xml:space="preserve">Annika</w:t>
      </w:r>
      <w:r>
        <w:t xml:space="preserve"> </w:t>
      </w:r>
      <w:r>
        <w:t xml:space="preserve">was</w:t>
      </w:r>
      <w:r>
        <w:t xml:space="preserve"> </w:t>
      </w:r>
      <w:r>
        <w:t xml:space="preserve">still</w:t>
      </w:r>
      <w:r>
        <w:t xml:space="preserve"> </w:t>
      </w:r>
      <w:r>
        <w:t xml:space="preserve">here.</w:t>
      </w:r>
      <w:r>
        <w:t xml:space="preserve"> </w:t>
      </w:r>
      <w:r>
        <w:t xml:space="preserve">(Unfortunately</w:t>
      </w:r>
      <w:r>
        <w:t xml:space="preserve"> </w:t>
      </w:r>
      <w:r>
        <w:t xml:space="preserve">we</w:t>
      </w:r>
      <w:r>
        <w:t xml:space="preserve"> </w:t>
      </w:r>
      <w:r>
        <w:t xml:space="preserve">got</w:t>
      </w:r>
      <w:r>
        <w:t xml:space="preserve"> </w:t>
      </w:r>
      <w:r>
        <w:t xml:space="preserve">delayed</w:t>
      </w:r>
      <w:r>
        <w:t xml:space="preserve"> </w:t>
      </w:r>
      <w:r>
        <w:t xml:space="preserve">when</w:t>
      </w:r>
      <w:r>
        <w:t xml:space="preserve"> </w:t>
      </w:r>
      <w:r>
        <w:t xml:space="preserve">Zane</w:t>
      </w:r>
      <w:r>
        <w:t xml:space="preserve"> </w:t>
      </w:r>
      <w:r>
        <w:t xml:space="preserve">got</w:t>
      </w:r>
      <w:r>
        <w:t xml:space="preserve"> </w:t>
      </w:r>
      <w:r>
        <w:t xml:space="preserve">COVID.)</w:t>
      </w:r>
      <w:r>
        <w:t xml:space="preserve"> </w:t>
      </w:r>
      <w:r>
        <w:t xml:space="preserve">This</w:t>
      </w:r>
      <w:r>
        <w:t xml:space="preserve"> </w:t>
      </w:r>
      <w:r>
        <w:t xml:space="preserve">will</w:t>
      </w:r>
      <w:r>
        <w:t xml:space="preserve"> </w:t>
      </w:r>
      <w:r>
        <w:t xml:space="preserve">document</w:t>
      </w:r>
      <w:r>
        <w:t xml:space="preserve"> </w:t>
      </w:r>
      <w:r>
        <w:t xml:space="preserve">everything</w:t>
      </w:r>
      <w:r>
        <w:t xml:space="preserve"> </w:t>
      </w:r>
      <w:r>
        <w:t xml:space="preserve">that</w:t>
      </w:r>
      <w:r>
        <w:t xml:space="preserve"> </w:t>
      </w:r>
      <w:r>
        <w:t xml:space="preserve">we</w:t>
      </w:r>
      <w:r>
        <w:t xml:space="preserve"> </w:t>
      </w:r>
      <w:r>
        <w:t xml:space="preserve">have</w:t>
      </w:r>
      <w:r>
        <w:t xml:space="preserve"> </w:t>
      </w:r>
      <w:r>
        <w:t xml:space="preserve">as</w:t>
      </w:r>
      <w:r>
        <w:t xml:space="preserve"> </w:t>
      </w:r>
      <w:r>
        <w:t xml:space="preserve">a</w:t>
      </w:r>
      <w:r>
        <w:t xml:space="preserve"> </w:t>
      </w:r>
      <w:r>
        <w:t xml:space="preserve">finished</w:t>
      </w:r>
      <w:r>
        <w:t xml:space="preserve"> </w:t>
      </w:r>
      <w:r>
        <w:t xml:space="preserve">figure</w:t>
      </w:r>
      <w:r>
        <w:t xml:space="preserve"> </w:t>
      </w:r>
      <w:r>
        <w:t xml:space="preserve">or</w:t>
      </w:r>
      <w:r>
        <w:t xml:space="preserve"> </w:t>
      </w:r>
      <w:r>
        <w:t xml:space="preserve">table</w:t>
      </w:r>
      <w:r>
        <w:t xml:space="preserve"> </w:t>
      </w:r>
      <w:r>
        <w:t xml:space="preserve">to</w:t>
      </w:r>
      <w:r>
        <w:t xml:space="preserve"> </w:t>
      </w:r>
      <w:r>
        <w:t xml:space="preserve">aid</w:t>
      </w:r>
      <w:r>
        <w:t xml:space="preserve"> </w:t>
      </w:r>
      <w:r>
        <w:t xml:space="preserve">in</w:t>
      </w:r>
      <w:r>
        <w:t xml:space="preserve"> </w:t>
      </w:r>
      <w:r>
        <w:t xml:space="preserve">choosing</w:t>
      </w:r>
      <w:r>
        <w:t xml:space="preserve"> </w:t>
      </w:r>
      <w:r>
        <w:t xml:space="preserve">what</w:t>
      </w:r>
      <w:r>
        <w:t xml:space="preserve"> </w:t>
      </w:r>
      <w:r>
        <w:t xml:space="preserve">should</w:t>
      </w:r>
      <w:r>
        <w:t xml:space="preserve"> </w:t>
      </w:r>
      <w:r>
        <w:t xml:space="preserve">be</w:t>
      </w:r>
      <w:r>
        <w:t xml:space="preserve"> </w:t>
      </w:r>
      <w:r>
        <w:t xml:space="preserve">reported</w:t>
      </w:r>
      <w:r>
        <w:t xml:space="preserve"> </w:t>
      </w:r>
      <w:r>
        <w:t xml:space="preserve">in</w:t>
      </w:r>
      <w:r>
        <w:t xml:space="preserve"> </w:t>
      </w:r>
      <w:r>
        <w:t xml:space="preserve">the</w:t>
      </w:r>
      <w:r>
        <w:t xml:space="preserve"> </w:t>
      </w:r>
      <w:r>
        <w:t xml:space="preserve">manuscript.</w:t>
      </w:r>
      <w:r>
        <w:t xml:space="preserve"> </w:t>
      </w:r>
      <w:r>
        <w:t xml:space="preserve">This</w:t>
      </w:r>
      <w:r>
        <w:t xml:space="preserve"> </w:t>
      </w:r>
      <w:r>
        <w:t xml:space="preserve">could</w:t>
      </w:r>
      <w:r>
        <w:t xml:space="preserve"> </w:t>
      </w:r>
      <w:r>
        <w:t xml:space="preserve">potentially</w:t>
      </w:r>
      <w:r>
        <w:t xml:space="preserve"> </w:t>
      </w:r>
      <w:r>
        <w:t xml:space="preserve">also</w:t>
      </w:r>
      <w:r>
        <w:t xml:space="preserve"> </w:t>
      </w:r>
      <w:r>
        <w:t xml:space="preserve">be</w:t>
      </w:r>
      <w:r>
        <w:t xml:space="preserve"> </w:t>
      </w:r>
      <w:r>
        <w:t xml:space="preserve">used</w:t>
      </w:r>
      <w:r>
        <w:t xml:space="preserve"> </w:t>
      </w:r>
      <w:r>
        <w:t xml:space="preserve">by</w:t>
      </w:r>
      <w:r>
        <w:t xml:space="preserve"> </w:t>
      </w:r>
      <w:r>
        <w:t xml:space="preserve">anyone</w:t>
      </w:r>
      <w:r>
        <w:t xml:space="preserve"> </w:t>
      </w:r>
      <w:r>
        <w:t xml:space="preserve">who</w:t>
      </w:r>
      <w:r>
        <w:t xml:space="preserve"> </w:t>
      </w:r>
      <w:r>
        <w:t xml:space="preserve">wants</w:t>
      </w:r>
      <w:r>
        <w:t xml:space="preserve"> </w:t>
      </w:r>
      <w:r>
        <w:t xml:space="preserve">to</w:t>
      </w:r>
      <w:r>
        <w:t xml:space="preserve"> </w:t>
      </w:r>
      <w:r>
        <w:t xml:space="preserve">work</w:t>
      </w:r>
      <w:r>
        <w:t xml:space="preserve"> </w:t>
      </w:r>
      <w:r>
        <w:t xml:space="preserve">on</w:t>
      </w:r>
      <w:r>
        <w:t xml:space="preserve"> </w:t>
      </w:r>
      <w:r>
        <w:t xml:space="preserve">this</w:t>
      </w:r>
      <w:r>
        <w:t xml:space="preserve"> </w:t>
      </w:r>
      <w:r>
        <w:t xml:space="preserve">data</w:t>
      </w:r>
      <w:r>
        <w:t xml:space="preserve"> </w:t>
      </w:r>
      <w:r>
        <w:t xml:space="preserve">in</w:t>
      </w:r>
      <w:r>
        <w:t xml:space="preserve"> </w:t>
      </w:r>
      <w:r>
        <w:t xml:space="preserve">the</w:t>
      </w:r>
      <w:r>
        <w:t xml:space="preserve"> </w:t>
      </w:r>
      <w:r>
        <w:t xml:space="preserve">future.</w:t>
      </w:r>
    </w:p>
    <w:p>
      <w:pPr>
        <w:pStyle w:val="FirstParagraph"/>
      </w:pPr>
      <w:r>
        <w:rPr>
          <w:bCs/>
          <w:b/>
        </w:rPr>
        <w:t xml:space="preserve">Do patients report symptoms differently from clinicians, and if so, do these differences have a noticeable impact on influenza diagnosis?</w:t>
      </w:r>
    </w:p>
    <w:bookmarkStart w:id="20" w:name="background"/>
    <w:p>
      <w:pPr>
        <w:pStyle w:val="Heading1"/>
      </w:pPr>
      <w:r>
        <w:rPr>
          <w:rStyle w:val="SectionNumber"/>
        </w:rPr>
        <w:t xml:space="preserve">1</w:t>
      </w:r>
      <w:r>
        <w:tab/>
      </w:r>
      <w:r>
        <w:t xml:space="preserve">Background</w:t>
      </w:r>
    </w:p>
    <w:p>
      <w:pPr>
        <w:pStyle w:val="FirstParagraph"/>
      </w:pPr>
      <w:r>
        <w:t xml:space="preserve">Our research question is specifically motivated by a context of telemedicine and triage: if a patient can make a telemedicine appointment and receive a negative diagnosis, they do not need to come into the office, reducing the burden on the healthcare system. The triage system is motivated by the threshold model of diagnosis</w:t>
      </w:r>
      <w:r>
        <w:t xml:space="preserve"> </w:t>
      </w:r>
      <w:r>
        <w:t xml:space="preserve">[@pauker1980]</w:t>
      </w:r>
      <w:r>
        <w:t xml:space="preserve">.</w:t>
      </w:r>
    </w:p>
    <w:p>
      <w:pPr>
        <w:pStyle w:val="BodyText"/>
      </w:pPr>
      <w:r>
        <w:t xml:space="preserve">Using Mark’s UHC data that Ariella used for her thesis, we wanted to first examine the agreement between patient-reported and clinician-reported symptoms. (Note that many clinicians were not physicians, but were medical professionals such as nurses and NPs.) After this, we noticed that many clinician prediction rules were based on clinician-reported symptoms, so we theorized that if patients and clinicians often disagree on their symptoms, these clinical prediction rules might fail when patient-reported symptom data was fed into them. For the</w:t>
      </w:r>
      <w:r>
        <w:t xml:space="preserve"> </w:t>
      </w:r>
      <w:r>
        <w:t xml:space="preserve">“</w:t>
      </w:r>
      <w:r>
        <w:t xml:space="preserve">true</w:t>
      </w:r>
      <w:r>
        <w:t xml:space="preserve">”</w:t>
      </w:r>
      <w:r>
        <w:t xml:space="preserve"> </w:t>
      </w:r>
      <w:r>
        <w:t xml:space="preserve">diagnosis, we had a subsample with PCR and a (mutually exclusive) subsample with RADT, so we decided to check PCR, RADT, PCR or RADT, and clinician diagnosis.</w:t>
      </w:r>
    </w:p>
    <w:p>
      <w:pPr>
        <w:pStyle w:val="BodyText"/>
      </w:pPr>
      <w:r>
        <w:t xml:space="preserve">Then, we decided to build new, similar models using the patient data.</w:t>
      </w:r>
    </w:p>
    <w:bookmarkEnd w:id="20"/>
    <w:bookmarkStart w:id="27" w:name="diagnosis-agreement"/>
    <w:p>
      <w:pPr>
        <w:pStyle w:val="Heading1"/>
      </w:pPr>
      <w:r>
        <w:rPr>
          <w:rStyle w:val="SectionNumber"/>
        </w:rPr>
        <w:t xml:space="preserve">2</w:t>
      </w:r>
      <w:r>
        <w:tab/>
      </w:r>
      <w:r>
        <w:t xml:space="preserve">Diagnosis Agreement</w:t>
      </w:r>
    </w:p>
    <w:p>
      <w:pPr>
        <w:pStyle w:val="FirstParagraph"/>
      </w:pPr>
      <w:r>
        <w:t xml:space="preserve">While we had almost 2500 observations in the full data set, many of these patients only received a clinician diagnosis. A much smaller subsample recieved a PCR or RADT diagnostic test. The number of subjects recieving each type of diagnosis, and the proportion of positive and negative diagnoses within each subsample is shown in Table</w:t>
      </w:r>
      <w:r>
        <w:t xml:space="preserve"> </w:t>
      </w:r>
      <w:r>
        <w:t xml:space="preserve">2.1</w:t>
      </w:r>
      <w:r>
        <w:t xml:space="preserve">.</w:t>
      </w:r>
    </w:p>
    <w:p>
      <w:pPr>
        <w:pStyle w:val="TableCaption"/>
      </w:pPr>
      <w:r>
        <w:t xml:space="preserve">Table 2.1: The number of participants who recieved each type of diagnosis, along with, the proportion of positive and negative flu diagnoses of each type. The clinician diagnosis referred to the final diagnosis by the healthcare, who was not blinded to the results of the tests. PCR: Reverse transcriptase polymerase chain reaction. RADT: rapid antigen detection test. Test: combined results from the PCR and RADT subsamples, which were mutually exclusive.</w:t>
      </w:r>
    </w:p>
    <w:tbl>
      <w:tblPr>
        <w:tblStyle w:val="Table"/>
        <w:tblW w:type="pct" w:w="5000"/>
        <w:tblLook w:firstRow="1" w:lastRow="0" w:firstColumn="0" w:lastColumn="0" w:noHBand="0" w:noVBand="0" w:val="0020"/>
        <w:tblCaption w:val="Table 2.1: The number of participants who recieved each type of diagnosis, along with, the proportion of positive and negative flu diagnoses of each type. The clinician diagnosis referred to the final diagnosis by the healthcare, who was not blinded to the results of the tests. PCR: Reverse transcriptase polymerase chain reaction. RADT: rapid antigen detection test. Test: combined results from the PCR and RADT subsamples, which were mutually exclusive."/>
      </w:tblPr>
      <w:tblGrid>
        <w:gridCol w:w="1155"/>
        <w:gridCol w:w="2145"/>
        <w:gridCol w:w="1485"/>
        <w:gridCol w:w="1567"/>
        <w:gridCol w:w="1567"/>
      </w:tblGrid>
      <w:tr>
        <w:trPr>
          <w:tblHeader w:val="true"/>
        </w:trPr>
        <w:tc>
          <w:tcPr/>
          <w:p>
            <w:pPr>
              <w:pStyle w:val="Compact"/>
              <w:jc w:val="left"/>
            </w:pPr>
            <w:r>
              <w:rPr>
                <w:bCs/>
                <w:b/>
              </w:rPr>
              <w:t xml:space="preserve">diagnosis</w:t>
            </w:r>
          </w:p>
        </w:tc>
        <w:tc>
          <w:tcPr/>
          <w:p>
            <w:pPr>
              <w:pStyle w:val="Compact"/>
              <w:jc w:val="center"/>
            </w:pPr>
            <w:r>
              <w:rPr>
                <w:bCs/>
                <w:b/>
              </w:rPr>
              <w:t xml:space="preserve">Clinician</w:t>
            </w:r>
            <w:r>
              <w:t xml:space="preserve">, N = 2,475</w:t>
            </w:r>
          </w:p>
        </w:tc>
        <w:tc>
          <w:tcPr/>
          <w:p>
            <w:pPr>
              <w:pStyle w:val="Compact"/>
              <w:jc w:val="center"/>
            </w:pPr>
            <w:r>
              <w:rPr>
                <w:bCs/>
                <w:b/>
              </w:rPr>
              <w:t xml:space="preserve">PCR</w:t>
            </w:r>
            <w:r>
              <w:t xml:space="preserve">, N = 250</w:t>
            </w:r>
          </w:p>
        </w:tc>
        <w:tc>
          <w:tcPr/>
          <w:p>
            <w:pPr>
              <w:pStyle w:val="Compact"/>
              <w:jc w:val="center"/>
            </w:pPr>
            <w:r>
              <w:rPr>
                <w:bCs/>
                <w:b/>
              </w:rPr>
              <w:t xml:space="preserve">RADT</w:t>
            </w:r>
            <w:r>
              <w:t xml:space="preserve">, N = 420</w:t>
            </w:r>
          </w:p>
        </w:tc>
        <w:tc>
          <w:tcPr/>
          <w:p>
            <w:pPr>
              <w:pStyle w:val="Compact"/>
              <w:jc w:val="center"/>
            </w:pPr>
            <w:r>
              <w:rPr>
                <w:bCs/>
                <w:b/>
              </w:rPr>
              <w:t xml:space="preserve">test</w:t>
            </w:r>
            <w:r>
              <w:t xml:space="preserve">, N = 670</w:t>
            </w:r>
          </w:p>
        </w:tc>
      </w:tr>
      <w:tr>
        <w:tc>
          <w:tcPr/>
          <w:p>
            <w:pPr>
              <w:pStyle w:val="Compact"/>
              <w:jc w:val="left"/>
            </w:pPr>
            <w:r>
              <w:t xml:space="preserve">negative</w:t>
            </w:r>
          </w:p>
        </w:tc>
        <w:tc>
          <w:tcPr/>
          <w:p>
            <w:pPr>
              <w:pStyle w:val="Compact"/>
              <w:jc w:val="center"/>
            </w:pPr>
            <w:r>
              <w:t xml:space="preserve">1,769 (71%)</w:t>
            </w:r>
          </w:p>
        </w:tc>
        <w:tc>
          <w:tcPr/>
          <w:p>
            <w:pPr>
              <w:pStyle w:val="Compact"/>
              <w:jc w:val="center"/>
            </w:pPr>
            <w:r>
              <w:t xml:space="preserve">123 (49%)</w:t>
            </w:r>
          </w:p>
        </w:tc>
        <w:tc>
          <w:tcPr/>
          <w:p>
            <w:pPr>
              <w:pStyle w:val="Compact"/>
              <w:jc w:val="center"/>
            </w:pPr>
            <w:r>
              <w:t xml:space="preserve">226 (54%)</w:t>
            </w:r>
          </w:p>
        </w:tc>
        <w:tc>
          <w:tcPr/>
          <w:p>
            <w:pPr>
              <w:pStyle w:val="Compact"/>
              <w:jc w:val="center"/>
            </w:pPr>
            <w:r>
              <w:t xml:space="preserve">349 (52%)</w:t>
            </w:r>
          </w:p>
        </w:tc>
      </w:tr>
      <w:tr>
        <w:tc>
          <w:tcPr/>
          <w:p>
            <w:pPr>
              <w:pStyle w:val="Compact"/>
              <w:jc w:val="left"/>
            </w:pPr>
            <w:r>
              <w:t xml:space="preserve">positive</w:t>
            </w:r>
          </w:p>
        </w:tc>
        <w:tc>
          <w:tcPr/>
          <w:p>
            <w:pPr>
              <w:pStyle w:val="Compact"/>
              <w:jc w:val="center"/>
            </w:pPr>
            <w:r>
              <w:t xml:space="preserve">706 (29%)</w:t>
            </w:r>
          </w:p>
        </w:tc>
        <w:tc>
          <w:tcPr/>
          <w:p>
            <w:pPr>
              <w:pStyle w:val="Compact"/>
              <w:jc w:val="center"/>
            </w:pPr>
            <w:r>
              <w:t xml:space="preserve">127 (51%)</w:t>
            </w:r>
          </w:p>
        </w:tc>
        <w:tc>
          <w:tcPr/>
          <w:p>
            <w:pPr>
              <w:pStyle w:val="Compact"/>
              <w:jc w:val="center"/>
            </w:pPr>
            <w:r>
              <w:t xml:space="preserve">194 (46%)</w:t>
            </w:r>
          </w:p>
        </w:tc>
        <w:tc>
          <w:tcPr/>
          <w:p>
            <w:pPr>
              <w:pStyle w:val="Compact"/>
              <w:jc w:val="center"/>
            </w:pPr>
            <w:r>
              <w:t xml:space="preserve">321 (48%)</w:t>
            </w:r>
          </w:p>
        </w:tc>
      </w:tr>
    </w:tbl>
    <w:p>
      <w:pPr>
        <w:pStyle w:val="BodyText"/>
      </w:pPr>
      <w:r>
        <w:t xml:space="preserve">As you can see, clinicians were less likely to diagnose patients with flu than either of the lab tests. PCR and RADT show surprisingly similar diagnostic levels. Unfortunately, since the PCR and RADT subsamples are mutually exclusive, we cannot directly compare agreement between the two methods. However, we used a battery of interrater agreement statistics to measure the agreement between the clinician diagnoses and the three subsamples. The Cohen’s kappa values are shown in Figure</w:t>
      </w:r>
      <w:r>
        <w:t xml:space="preserve"> </w:t>
      </w:r>
      <w:r>
        <w:t xml:space="preserve">2.1</w:t>
      </w:r>
      <w:r>
        <w:t xml:space="preserve">.</w:t>
      </w:r>
    </w:p>
    <w:p>
      <w:pPr>
        <w:pStyle w:val="CaptionedFigure"/>
      </w:pPr>
      <w:r>
        <w:drawing>
          <wp:inline>
            <wp:extent cx="5334000" cy="3556000"/>
            <wp:effectExtent b="0" l="0" r="0" t="0"/>
            <wp:docPr descr="Figure 2.1: Cohen’s kappa was used to measure agreement between clinician diagnoses and the lab test methods. Qualitative agreement categories were assigned based on previously published guidelines for clinical research." title="" id="22" name="Picture"/>
            <a:graphic>
              <a:graphicData uri="http://schemas.openxmlformats.org/drawingml/2006/picture">
                <pic:pic>
                  <pic:nvPicPr>
                    <pic:cNvPr descr="../../Results/Figures/dx_agreement_kappa_plot.tiff"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2.1: Cohen’s kappa was used to measure agreement between clinician diagnoses and the lab test methods. Qualitative agreement categories were assigned based on previously published guidelines for clinical research.</w:t>
      </w:r>
    </w:p>
    <w:p>
      <w:pPr>
        <w:pStyle w:val="BodyText"/>
      </w:pPr>
      <w:r>
        <w:t xml:space="preserve">However, the</w:t>
      </w:r>
      <w:r>
        <w:t xml:space="preserve"> </w:t>
      </w:r>
      <w:r>
        <w:t xml:space="preserve">“</w:t>
      </w:r>
      <w:r>
        <w:t xml:space="preserve">paradox of kappa</w:t>
      </w:r>
      <w:r>
        <w:t xml:space="preserve">”</w:t>
      </w:r>
      <w:r>
        <w:t xml:space="preserve"> </w:t>
      </w:r>
      <w:r>
        <w:t xml:space="preserve">is a well-established phenomenon: when the variance in responses is low, despite the fact that the raters agree almost every time. That is, if almost all diagnoses truly are</w:t>
      </w:r>
      <w:r>
        <w:t xml:space="preserve"> </w:t>
      </w:r>
      <w:r>
        <w:t xml:space="preserve">“</w:t>
      </w:r>
      <w:r>
        <w:t xml:space="preserve">No</w:t>
      </w:r>
      <w:r>
        <w:t xml:space="preserve">”</w:t>
      </w:r>
      <w:r>
        <w:t xml:space="preserve">, then kappa will be deflated, even if the reviewers agree 100% of the time. In the case of our diagnoses, since the PCR results gave a prevalence of about 50%, this should be less of an issue. However, we also calculated several additional statistics, shown in Figurwe</w:t>
      </w:r>
      <w:r>
        <w:t xml:space="preserve"> </w:t>
      </w:r>
      <w:r>
        <w:t xml:space="preserve">2.2</w:t>
      </w:r>
      <w:r>
        <w:t xml:space="preserve">.</w:t>
      </w:r>
    </w:p>
    <w:p>
      <w:pPr>
        <w:pStyle w:val="CaptionedFigure"/>
      </w:pPr>
      <w:r>
        <w:drawing>
          <wp:inline>
            <wp:extent cx="5334000" cy="3556000"/>
            <wp:effectExtent b="0" l="0" r="0" t="0"/>
            <wp:docPr descr="Figure 2.2: We considered several alternative statistics to Cohen’s kappa, due to the so-called ‘paradox of kappa.’ Gwet’s AC1 and the Prevalence-and-Bias Adjusted Kappa (PABAK) were both developed to help address the issue of interpreting kappa. We also compute Krippendorff’s Alpha, a measure which is based on disagreements rather than on agreements, and the percentage agreement, which does not adjust for random chance." title="" id="25" name="Picture"/>
            <a:graphic>
              <a:graphicData uri="http://schemas.openxmlformats.org/drawingml/2006/picture">
                <pic:pic>
                  <pic:nvPicPr>
                    <pic:cNvPr descr="../../Results/Figures/dx_agreement_panel_plot.tiff"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2.2: We considered several alternative statistics to Cohen’s kappa, due to the so-called</w:t>
      </w:r>
      <w:r>
        <w:t xml:space="preserve"> </w:t>
      </w:r>
      <w:r>
        <w:t xml:space="preserve">‘</w:t>
      </w:r>
      <w:r>
        <w:t xml:space="preserve">paradox of kappa.</w:t>
      </w:r>
      <w:r>
        <w:t xml:space="preserve">’</w:t>
      </w:r>
      <w:r>
        <w:t xml:space="preserve"> </w:t>
      </w:r>
      <w:r>
        <w:t xml:space="preserve">Gwet’s AC1 and the Prevalence-and-Bias Adjusted Kappa (PABAK) were both developed to help address the issue of interpreting kappa. We also compute Krippendorff’s Alpha, a measure which is based on disagreements rather than on agreements, and the percentage agreement, which does not adjust for random chance.</w:t>
      </w:r>
    </w:p>
    <w:p>
      <w:pPr>
        <w:pStyle w:val="BodyText"/>
      </w:pPr>
      <w:r>
        <w:t xml:space="preserve">For these data, the Cohen’s kappa results seem similar to the results from the other four statistics. Each statistic reports that clinicians agree with PCR, and more often disagree with RADT. This is likely because clinicians were not blinded to test results. PCR is known to be incredibly accurate, while RADT has a reputation for inaccuracy (although it should be noted that positive rapid tests are highly accurate), so it is likely that clinicians usually agreed with the PCR result, but relied on their own judgement when presented with a rapid test result.</w:t>
      </w:r>
    </w:p>
    <w:p>
      <w:pPr>
        <w:pStyle w:val="BodyText"/>
      </w:pPr>
      <w:r>
        <w:t xml:space="preserve">Given that the highest level of agreement, based on the guidelines for clinical interpretations of Cohen’s kappa (CITE) is only moderate, using only lab tests results as the</w:t>
      </w:r>
      <w:r>
        <w:t xml:space="preserve"> </w:t>
      </w:r>
      <w:r>
        <w:t xml:space="preserve">“</w:t>
      </w:r>
      <w:r>
        <w:t xml:space="preserve">true</w:t>
      </w:r>
      <w:r>
        <w:t xml:space="preserve">”</w:t>
      </w:r>
      <w:r>
        <w:t xml:space="preserve"> </w:t>
      </w:r>
      <w:r>
        <w:t xml:space="preserve">values seems prudent, although we will compare the different diagnostic methods as a potential sensitivity analysis. If the results based on clinician diagnoses are not that different from results based on PCR diagnoses, perhaps this discrepancy is less important in practice (although I personally thought we would see worse results using the clinician diagnoses due to the high prevalence of negative diagnoses).</w:t>
      </w:r>
    </w:p>
    <w:bookmarkEnd w:id="27"/>
    <w:bookmarkStart w:id="36" w:name="symptom-agreement"/>
    <w:p>
      <w:pPr>
        <w:pStyle w:val="Heading1"/>
      </w:pPr>
      <w:r>
        <w:rPr>
          <w:rStyle w:val="SectionNumber"/>
        </w:rPr>
        <w:t xml:space="preserve">3</w:t>
      </w:r>
      <w:r>
        <w:tab/>
      </w:r>
      <w:r>
        <w:t xml:space="preserve">Symptom Agreement</w:t>
      </w:r>
    </w:p>
    <w:p>
      <w:pPr>
        <w:pStyle w:val="FirstParagraph"/>
      </w:pPr>
      <w:r>
        <w:t xml:space="preserve">The original namesake of this project! The original motivation of this project was to determine whether clinicians and patients agreed on what symptoms the patient is presenting. We consider the patient to have a</w:t>
      </w:r>
      <w:r>
        <w:t xml:space="preserve"> </w:t>
      </w:r>
      <w:r>
        <w:t xml:space="preserve">“</w:t>
      </w:r>
      <w:r>
        <w:t xml:space="preserve">true clinical state</w:t>
      </w:r>
      <w:r>
        <w:t xml:space="preserve">”</w:t>
      </w:r>
      <w:r>
        <w:t xml:space="preserve">, or a true set of signs and symptoms that they are experiencing. Both the clinician and the patient record imperfect observations of the true clinical state, and then, for each reported symptom, we compared the agreement between patients and clinicians. We also considered the number of symptoms presented by the patient, as well as whether the disease was noted as having an acute onset (&lt;= 48 hours prior to the clinic visit).</w:t>
      </w:r>
    </w:p>
    <w:bookmarkStart w:id="28" w:name="descriptive-statistics"/>
    <w:p>
      <w:pPr>
        <w:pStyle w:val="Heading2"/>
      </w:pPr>
      <w:r>
        <w:rPr>
          <w:rStyle w:val="SectionNumber"/>
        </w:rPr>
        <w:t xml:space="preserve">3.1</w:t>
      </w:r>
      <w:r>
        <w:tab/>
      </w:r>
      <w:r>
        <w:t xml:space="preserve">Descriptive statistics</w:t>
      </w:r>
    </w:p>
    <w:p>
      <w:pPr>
        <w:pStyle w:val="FirstParagraph"/>
      </w:pPr>
      <w:r>
        <w:t xml:space="preserve">Statistics on the total number of symptoms reported by patients and clinicians, and the average agreement per patient are reported in Table</w:t>
      </w:r>
      <w:r>
        <w:t xml:space="preserve"> </w:t>
      </w:r>
      <w:r>
        <w:t xml:space="preserve">3.1</w:t>
      </w:r>
      <w:r>
        <w:t xml:space="preserve">. The average agreement per patient was computed as the number of symptoms the patient and doctor agreed on divided by the total number of symptoms. We then calculated the population average with 95% bootstrap CI.</w:t>
      </w:r>
    </w:p>
    <w:p>
      <w:pPr>
        <w:pStyle w:val="TableCaption"/>
      </w:pPr>
      <w:r>
        <w:t xml:space="preserve">Table 3.1: The mean proportion of symptoms upon which the clinician and patient agree, with a 95% bootstrap confidence interval.</w:t>
      </w:r>
    </w:p>
    <w:tbl>
      <w:tblPr>
        <w:tblStyle w:val="Table"/>
        <w:tblW w:type="auto" w:w="0"/>
        <w:tblLook w:firstRow="1" w:lastRow="0" w:firstColumn="0" w:lastColumn="0" w:noHBand="0" w:noVBand="0" w:val="0020"/>
        <w:tblCaption w:val="Table 3.1: The mean proportion of symptoms upon which the clinician and patient agree, with a 95% bootstrap confidence interval."/>
      </w:tblPr>
      <w:tblGrid>
        <w:gridCol w:w="3960"/>
        <w:gridCol w:w="3960"/>
      </w:tblGrid>
      <w:tr>
        <w:trPr>
          <w:tblHeader w:val="true"/>
        </w:trPr>
        <w:tc>
          <w:tcPr/>
          <w:p>
            <w:pPr>
              <w:pStyle w:val="Compact"/>
              <w:jc w:val="left"/>
            </w:pPr>
            <w:r>
              <w:t xml:space="preserve">Diagnosis method</w:t>
            </w:r>
          </w:p>
        </w:tc>
        <w:tc>
          <w:tcPr/>
          <w:p>
            <w:pPr>
              <w:pStyle w:val="Compact"/>
              <w:jc w:val="left"/>
            </w:pPr>
            <w:r>
              <w:t xml:space="preserve">Proportion of symptoms agreed on</w:t>
            </w:r>
          </w:p>
        </w:tc>
      </w:tr>
      <w:tr>
        <w:tc>
          <w:tcPr/>
          <w:p>
            <w:pPr>
              <w:pStyle w:val="Compact"/>
              <w:jc w:val="left"/>
            </w:pPr>
            <w:r>
              <w:t xml:space="preserve">Clinician</w:t>
            </w:r>
          </w:p>
        </w:tc>
        <w:tc>
          <w:tcPr/>
          <w:p>
            <w:pPr>
              <w:pStyle w:val="Compact"/>
              <w:jc w:val="left"/>
            </w:pPr>
            <w:r>
              <w:t xml:space="preserve">0.755 (0.750, 0.761)</w:t>
            </w:r>
          </w:p>
        </w:tc>
      </w:tr>
      <w:tr>
        <w:tc>
          <w:tcPr/>
          <w:p>
            <w:pPr>
              <w:pStyle w:val="Compact"/>
              <w:jc w:val="left"/>
            </w:pPr>
            <w:r>
              <w:t xml:space="preserve">PCR</w:t>
            </w:r>
          </w:p>
        </w:tc>
        <w:tc>
          <w:tcPr/>
          <w:p>
            <w:pPr>
              <w:pStyle w:val="Compact"/>
              <w:jc w:val="left"/>
            </w:pPr>
            <w:r>
              <w:t xml:space="preserve">0.748 (0.731, 0.765)</w:t>
            </w:r>
          </w:p>
        </w:tc>
      </w:tr>
      <w:tr>
        <w:tc>
          <w:tcPr/>
          <w:p>
            <w:pPr>
              <w:pStyle w:val="Compact"/>
              <w:jc w:val="left"/>
            </w:pPr>
            <w:r>
              <w:t xml:space="preserve">RIDT</w:t>
            </w:r>
          </w:p>
        </w:tc>
        <w:tc>
          <w:tcPr/>
          <w:p>
            <w:pPr>
              <w:pStyle w:val="Compact"/>
              <w:jc w:val="left"/>
            </w:pPr>
            <w:r>
              <w:t xml:space="preserve">0.759 (0.747, 0.770)</w:t>
            </w:r>
          </w:p>
        </w:tc>
      </w:tr>
      <w:tr>
        <w:tc>
          <w:tcPr/>
          <w:p>
            <w:pPr>
              <w:pStyle w:val="Compact"/>
              <w:jc w:val="left"/>
            </w:pPr>
            <w:r>
              <w:t xml:space="preserve">test</w:t>
            </w:r>
          </w:p>
        </w:tc>
        <w:tc>
          <w:tcPr/>
          <w:p>
            <w:pPr>
              <w:pStyle w:val="Compact"/>
              <w:jc w:val="left"/>
            </w:pPr>
            <w:r>
              <w:t xml:space="preserve">0.755 (0.745, 0.764)</w:t>
            </w:r>
          </w:p>
        </w:tc>
      </w:tr>
    </w:tbl>
    <w:p>
      <w:pPr>
        <w:pStyle w:val="BodyText"/>
      </w:pPr>
      <w:r>
        <w:t xml:space="preserve">The prevalence of symptoms, as reported by patients and clinicians, is shown in Table</w:t>
      </w:r>
      <w:r>
        <w:t xml:space="preserve"> </w:t>
      </w:r>
      <w:r>
        <w:t xml:space="preserve">3.2</w:t>
      </w:r>
      <w:r>
        <w:t xml:space="preserve">. The number of symptoms reported as well as whether the onset of disease was reported as acute (&lt;= 48 hours) are also shown in the table.</w:t>
      </w:r>
    </w:p>
    <w:p>
      <w:pPr>
        <w:pStyle w:val="TableCaption"/>
      </w:pPr>
      <w:r>
        <w:t xml:space="preserve">Table 3.2: The prevalence of each symptom in our population is shown, as reported by both patients and clinicians. Prevalences were computed for each subsample that recieved a specific diagnosis method.</w:t>
      </w:r>
    </w:p>
    <w:tbl>
      <w:tblPr>
        <w:tblStyle w:val="Table"/>
        <w:tblW w:type="pct" w:w="5000"/>
        <w:tblLook w:firstRow="1" w:lastRow="0" w:firstColumn="0" w:lastColumn="0" w:noHBand="0" w:noVBand="0" w:val="0020"/>
        <w:tblCaption w:val="Table 3.2: The prevalence of each symptom in our population is shown, as reported by both patients and clinicians. Prevalences were computed for each subsample that recieved a specific diagnosis method."/>
      </w:tblPr>
      <w:tblGrid>
        <w:gridCol w:w="1200"/>
        <w:gridCol w:w="900"/>
        <w:gridCol w:w="780"/>
        <w:gridCol w:w="900"/>
        <w:gridCol w:w="780"/>
        <w:gridCol w:w="900"/>
        <w:gridCol w:w="780"/>
        <w:gridCol w:w="900"/>
        <w:gridCol w:w="780"/>
      </w:tblGrid>
      <w:tr>
        <w:trPr>
          <w:tblHeader w:val="true"/>
        </w:trPr>
        <w:tc>
          <w:tcPr/>
          <w:p>
            <w:pPr>
              <w:pStyle w:val="Compact"/>
            </w:pPr>
          </w:p>
        </w:tc>
        <w:tc>
          <w:tcPr/>
          <w:p>
            <w:pPr>
              <w:pStyle w:val="Compact"/>
              <w:jc w:val="center"/>
            </w:pPr>
            <w:r>
              <w:rPr>
                <w:bCs/>
                <w:b/>
              </w:rPr>
              <w:t xml:space="preserve">Clinician</w:t>
            </w:r>
          </w:p>
        </w:tc>
        <w:tc>
          <w:tcPr/>
          <w:p>
            <w:pPr>
              <w:pStyle w:val="Compact"/>
              <w:jc w:val="center"/>
            </w:pPr>
            <w:r>
              <w:rPr>
                <w:bCs/>
                <w:b/>
              </w:rPr>
              <w:t xml:space="preserve">Patient</w:t>
            </w:r>
          </w:p>
        </w:tc>
        <w:tc>
          <w:tcPr/>
          <w:p>
            <w:pPr>
              <w:pStyle w:val="Compact"/>
              <w:jc w:val="center"/>
            </w:pPr>
            <w:r>
              <w:rPr>
                <w:bCs/>
                <w:b/>
              </w:rPr>
              <w:t xml:space="preserve">Clinician</w:t>
            </w:r>
          </w:p>
        </w:tc>
        <w:tc>
          <w:tcPr/>
          <w:p>
            <w:pPr>
              <w:pStyle w:val="Compact"/>
              <w:jc w:val="center"/>
            </w:pPr>
            <w:r>
              <w:rPr>
                <w:bCs/>
                <w:b/>
              </w:rPr>
              <w:t xml:space="preserve">Patient</w:t>
            </w:r>
          </w:p>
        </w:tc>
        <w:tc>
          <w:tcPr/>
          <w:p>
            <w:pPr>
              <w:pStyle w:val="Compact"/>
              <w:jc w:val="center"/>
            </w:pPr>
            <w:r>
              <w:rPr>
                <w:bCs/>
                <w:b/>
              </w:rPr>
              <w:t xml:space="preserve">Clinician</w:t>
            </w:r>
          </w:p>
        </w:tc>
        <w:tc>
          <w:tcPr/>
          <w:p>
            <w:pPr>
              <w:pStyle w:val="Compact"/>
              <w:jc w:val="center"/>
            </w:pPr>
            <w:r>
              <w:rPr>
                <w:bCs/>
                <w:b/>
              </w:rPr>
              <w:t xml:space="preserve">Patient</w:t>
            </w:r>
          </w:p>
        </w:tc>
        <w:tc>
          <w:tcPr/>
          <w:p>
            <w:pPr>
              <w:pStyle w:val="Compact"/>
              <w:jc w:val="center"/>
            </w:pPr>
            <w:r>
              <w:rPr>
                <w:bCs/>
                <w:b/>
              </w:rPr>
              <w:t xml:space="preserve">Clinician</w:t>
            </w:r>
          </w:p>
        </w:tc>
        <w:tc>
          <w:tcPr/>
          <w:p>
            <w:pPr>
              <w:pStyle w:val="Compact"/>
              <w:jc w:val="center"/>
            </w:pPr>
            <w:r>
              <w:rPr>
                <w:bCs/>
                <w:b/>
              </w:rPr>
              <w:t xml:space="preserve">Patient</w:t>
            </w:r>
          </w:p>
        </w:tc>
      </w:tr>
      <w:tr>
        <w:tc>
          <w:tcPr/>
          <w:p>
            <w:pPr>
              <w:pStyle w:val="Compact"/>
              <w:jc w:val="left"/>
            </w:pPr>
            <w:r>
              <w:t xml:space="preserve">Pharyngitis</w:t>
            </w:r>
          </w:p>
        </w:tc>
        <w:tc>
          <w:tcPr/>
          <w:p>
            <w:pPr>
              <w:pStyle w:val="Compact"/>
              <w:jc w:val="center"/>
            </w:pPr>
            <w:r>
              <w:t xml:space="preserve">2,168 (88%)</w:t>
            </w:r>
          </w:p>
        </w:tc>
        <w:tc>
          <w:tcPr/>
          <w:p>
            <w:pPr>
              <w:pStyle w:val="Compact"/>
              <w:jc w:val="center"/>
            </w:pPr>
            <w:r>
              <w:t xml:space="preserve">2,026 (82%)</w:t>
            </w:r>
          </w:p>
        </w:tc>
        <w:tc>
          <w:tcPr/>
          <w:p>
            <w:pPr>
              <w:pStyle w:val="Compact"/>
              <w:jc w:val="center"/>
            </w:pPr>
            <w:r>
              <w:t xml:space="preserve">235 (94%)</w:t>
            </w:r>
          </w:p>
        </w:tc>
        <w:tc>
          <w:tcPr/>
          <w:p>
            <w:pPr>
              <w:pStyle w:val="Compact"/>
              <w:jc w:val="center"/>
            </w:pPr>
            <w:r>
              <w:t xml:space="preserve">216 (86%)</w:t>
            </w:r>
          </w:p>
        </w:tc>
        <w:tc>
          <w:tcPr/>
          <w:p>
            <w:pPr>
              <w:pStyle w:val="Compact"/>
              <w:jc w:val="center"/>
            </w:pPr>
            <w:r>
              <w:t xml:space="preserve">382 (91%)</w:t>
            </w:r>
          </w:p>
        </w:tc>
        <w:tc>
          <w:tcPr/>
          <w:p>
            <w:pPr>
              <w:pStyle w:val="Compact"/>
              <w:jc w:val="center"/>
            </w:pPr>
            <w:r>
              <w:t xml:space="preserve">348 (83%)</w:t>
            </w:r>
          </w:p>
        </w:tc>
        <w:tc>
          <w:tcPr/>
          <w:p>
            <w:pPr>
              <w:pStyle w:val="Compact"/>
              <w:jc w:val="center"/>
            </w:pPr>
            <w:r>
              <w:t xml:space="preserve">617 (92%)</w:t>
            </w:r>
          </w:p>
        </w:tc>
        <w:tc>
          <w:tcPr/>
          <w:p>
            <w:pPr>
              <w:pStyle w:val="Compact"/>
              <w:jc w:val="center"/>
            </w:pPr>
            <w:r>
              <w:t xml:space="preserve">564 (84%)</w:t>
            </w:r>
          </w:p>
        </w:tc>
      </w:tr>
      <w:tr>
        <w:tc>
          <w:tcPr/>
          <w:p>
            <w:pPr>
              <w:pStyle w:val="Compact"/>
              <w:jc w:val="left"/>
            </w:pPr>
            <w:r>
              <w:t xml:space="preserve">Cough</w:t>
            </w:r>
          </w:p>
        </w:tc>
        <w:tc>
          <w:tcPr/>
          <w:p>
            <w:pPr>
              <w:pStyle w:val="Compact"/>
              <w:jc w:val="center"/>
            </w:pPr>
            <w:r>
              <w:t xml:space="preserve">1,990 (80%)</w:t>
            </w:r>
          </w:p>
        </w:tc>
        <w:tc>
          <w:tcPr/>
          <w:p>
            <w:pPr>
              <w:pStyle w:val="Compact"/>
              <w:jc w:val="center"/>
            </w:pPr>
            <w:r>
              <w:t xml:space="preserve">1,952 (79%)</w:t>
            </w:r>
          </w:p>
        </w:tc>
        <w:tc>
          <w:tcPr/>
          <w:p>
            <w:pPr>
              <w:pStyle w:val="Compact"/>
              <w:jc w:val="center"/>
            </w:pPr>
            <w:r>
              <w:t xml:space="preserve">237 (95%)</w:t>
            </w:r>
          </w:p>
        </w:tc>
        <w:tc>
          <w:tcPr/>
          <w:p>
            <w:pPr>
              <w:pStyle w:val="Compact"/>
              <w:jc w:val="center"/>
            </w:pPr>
            <w:r>
              <w:t xml:space="preserve">224 (90%)</w:t>
            </w:r>
          </w:p>
        </w:tc>
        <w:tc>
          <w:tcPr/>
          <w:p>
            <w:pPr>
              <w:pStyle w:val="Compact"/>
              <w:jc w:val="center"/>
            </w:pPr>
            <w:r>
              <w:t xml:space="preserve">375 (89%)</w:t>
            </w:r>
          </w:p>
        </w:tc>
        <w:tc>
          <w:tcPr/>
          <w:p>
            <w:pPr>
              <w:pStyle w:val="Compact"/>
              <w:jc w:val="center"/>
            </w:pPr>
            <w:r>
              <w:t xml:space="preserve">354 (84%)</w:t>
            </w:r>
          </w:p>
        </w:tc>
        <w:tc>
          <w:tcPr/>
          <w:p>
            <w:pPr>
              <w:pStyle w:val="Compact"/>
              <w:jc w:val="center"/>
            </w:pPr>
            <w:r>
              <w:t xml:space="preserve">612 (91%)</w:t>
            </w:r>
          </w:p>
        </w:tc>
        <w:tc>
          <w:tcPr/>
          <w:p>
            <w:pPr>
              <w:pStyle w:val="Compact"/>
              <w:jc w:val="center"/>
            </w:pPr>
            <w:r>
              <w:t xml:space="preserve">578 (86%)</w:t>
            </w:r>
          </w:p>
        </w:tc>
      </w:tr>
      <w:tr>
        <w:tc>
          <w:tcPr/>
          <w:p>
            <w:pPr>
              <w:pStyle w:val="Compact"/>
              <w:jc w:val="left"/>
            </w:pPr>
            <w:r>
              <w:t xml:space="preserve">Nasal congestion</w:t>
            </w:r>
          </w:p>
        </w:tc>
        <w:tc>
          <w:tcPr/>
          <w:p>
            <w:pPr>
              <w:pStyle w:val="Compact"/>
              <w:jc w:val="center"/>
            </w:pPr>
            <w:r>
              <w:t xml:space="preserve">1,966 (79%)</w:t>
            </w:r>
          </w:p>
        </w:tc>
        <w:tc>
          <w:tcPr/>
          <w:p>
            <w:pPr>
              <w:pStyle w:val="Compact"/>
              <w:jc w:val="center"/>
            </w:pPr>
            <w:r>
              <w:t xml:space="preserve">1,833 (74%)</w:t>
            </w:r>
          </w:p>
        </w:tc>
        <w:tc>
          <w:tcPr/>
          <w:p>
            <w:pPr>
              <w:pStyle w:val="Compact"/>
              <w:jc w:val="center"/>
            </w:pPr>
            <w:r>
              <w:t xml:space="preserve">223 (89%)</w:t>
            </w:r>
          </w:p>
        </w:tc>
        <w:tc>
          <w:tcPr/>
          <w:p>
            <w:pPr>
              <w:pStyle w:val="Compact"/>
              <w:jc w:val="center"/>
            </w:pPr>
            <w:r>
              <w:t xml:space="preserve">189 (76%)</w:t>
            </w:r>
          </w:p>
        </w:tc>
        <w:tc>
          <w:tcPr/>
          <w:p>
            <w:pPr>
              <w:pStyle w:val="Compact"/>
              <w:jc w:val="center"/>
            </w:pPr>
            <w:r>
              <w:t xml:space="preserve">378 (90%)</w:t>
            </w:r>
          </w:p>
        </w:tc>
        <w:tc>
          <w:tcPr/>
          <w:p>
            <w:pPr>
              <w:pStyle w:val="Compact"/>
              <w:jc w:val="center"/>
            </w:pPr>
            <w:r>
              <w:t xml:space="preserve">314 (75%)</w:t>
            </w:r>
          </w:p>
        </w:tc>
        <w:tc>
          <w:tcPr/>
          <w:p>
            <w:pPr>
              <w:pStyle w:val="Compact"/>
              <w:jc w:val="center"/>
            </w:pPr>
            <w:r>
              <w:t xml:space="preserve">601 (90%)</w:t>
            </w:r>
          </w:p>
        </w:tc>
        <w:tc>
          <w:tcPr/>
          <w:p>
            <w:pPr>
              <w:pStyle w:val="Compact"/>
              <w:jc w:val="center"/>
            </w:pPr>
            <w:r>
              <w:t xml:space="preserve">503 (75%)</w:t>
            </w:r>
          </w:p>
        </w:tc>
      </w:tr>
      <w:tr>
        <w:tc>
          <w:tcPr/>
          <w:p>
            <w:pPr>
              <w:pStyle w:val="Compact"/>
              <w:jc w:val="left"/>
            </w:pPr>
            <w:r>
              <w:t xml:space="preserve">Fatigue</w:t>
            </w:r>
          </w:p>
        </w:tc>
        <w:tc>
          <w:tcPr/>
          <w:p>
            <w:pPr>
              <w:pStyle w:val="Compact"/>
              <w:jc w:val="center"/>
            </w:pPr>
            <w:r>
              <w:t xml:space="preserve">1,260 (51%)</w:t>
            </w:r>
          </w:p>
        </w:tc>
        <w:tc>
          <w:tcPr/>
          <w:p>
            <w:pPr>
              <w:pStyle w:val="Compact"/>
              <w:jc w:val="center"/>
            </w:pPr>
            <w:r>
              <w:t xml:space="preserve">1,919 (78%)</w:t>
            </w:r>
          </w:p>
        </w:tc>
        <w:tc>
          <w:tcPr/>
          <w:p>
            <w:pPr>
              <w:pStyle w:val="Compact"/>
              <w:jc w:val="center"/>
            </w:pPr>
            <w:r>
              <w:t xml:space="preserve">188 (75%)</w:t>
            </w:r>
          </w:p>
        </w:tc>
        <w:tc>
          <w:tcPr/>
          <w:p>
            <w:pPr>
              <w:pStyle w:val="Compact"/>
              <w:jc w:val="center"/>
            </w:pPr>
            <w:r>
              <w:t xml:space="preserve">228 (91%)</w:t>
            </w:r>
          </w:p>
        </w:tc>
        <w:tc>
          <w:tcPr/>
          <w:p>
            <w:pPr>
              <w:pStyle w:val="Compact"/>
              <w:jc w:val="center"/>
            </w:pPr>
            <w:r>
              <w:t xml:space="preserve">354 (84%)</w:t>
            </w:r>
          </w:p>
        </w:tc>
        <w:tc>
          <w:tcPr/>
          <w:p>
            <w:pPr>
              <w:pStyle w:val="Compact"/>
              <w:jc w:val="center"/>
            </w:pPr>
            <w:r>
              <w:t xml:space="preserve">384 (91%)</w:t>
            </w:r>
          </w:p>
        </w:tc>
        <w:tc>
          <w:tcPr/>
          <w:p>
            <w:pPr>
              <w:pStyle w:val="Compact"/>
              <w:jc w:val="center"/>
            </w:pPr>
            <w:r>
              <w:t xml:space="preserve">542 (81%)</w:t>
            </w:r>
          </w:p>
        </w:tc>
        <w:tc>
          <w:tcPr/>
          <w:p>
            <w:pPr>
              <w:pStyle w:val="Compact"/>
              <w:jc w:val="center"/>
            </w:pPr>
            <w:r>
              <w:t xml:space="preserve">612 (91%)</w:t>
            </w:r>
          </w:p>
        </w:tc>
      </w:tr>
      <w:tr>
        <w:tc>
          <w:tcPr/>
          <w:p>
            <w:pPr>
              <w:pStyle w:val="Compact"/>
              <w:jc w:val="left"/>
            </w:pPr>
            <w:r>
              <w:t xml:space="preserve">Runny nose</w:t>
            </w:r>
          </w:p>
        </w:tc>
        <w:tc>
          <w:tcPr/>
          <w:p>
            <w:pPr>
              <w:pStyle w:val="Compact"/>
              <w:jc w:val="center"/>
            </w:pPr>
            <w:r>
              <w:t xml:space="preserve">1,836 (74%)</w:t>
            </w:r>
          </w:p>
        </w:tc>
        <w:tc>
          <w:tcPr/>
          <w:p>
            <w:pPr>
              <w:pStyle w:val="Compact"/>
              <w:jc w:val="center"/>
            </w:pPr>
            <w:r>
              <w:t xml:space="preserve">1,563 (63%)</w:t>
            </w:r>
          </w:p>
        </w:tc>
        <w:tc>
          <w:tcPr/>
          <w:p>
            <w:pPr>
              <w:pStyle w:val="Compact"/>
              <w:jc w:val="center"/>
            </w:pPr>
            <w:r>
              <w:t xml:space="preserve">218 (87%)</w:t>
            </w:r>
          </w:p>
        </w:tc>
        <w:tc>
          <w:tcPr/>
          <w:p>
            <w:pPr>
              <w:pStyle w:val="Compact"/>
              <w:jc w:val="center"/>
            </w:pPr>
            <w:r>
              <w:t xml:space="preserve">171 (68%)</w:t>
            </w:r>
          </w:p>
        </w:tc>
        <w:tc>
          <w:tcPr/>
          <w:p>
            <w:pPr>
              <w:pStyle w:val="Compact"/>
              <w:jc w:val="center"/>
            </w:pPr>
            <w:r>
              <w:t xml:space="preserve">369 (88%)</w:t>
            </w:r>
          </w:p>
        </w:tc>
        <w:tc>
          <w:tcPr/>
          <w:p>
            <w:pPr>
              <w:pStyle w:val="Compact"/>
              <w:jc w:val="center"/>
            </w:pPr>
            <w:r>
              <w:t xml:space="preserve">285 (68%)</w:t>
            </w:r>
          </w:p>
        </w:tc>
        <w:tc>
          <w:tcPr/>
          <w:p>
            <w:pPr>
              <w:pStyle w:val="Compact"/>
              <w:jc w:val="center"/>
            </w:pPr>
            <w:r>
              <w:t xml:space="preserve">587 (88%)</w:t>
            </w:r>
          </w:p>
        </w:tc>
        <w:tc>
          <w:tcPr/>
          <w:p>
            <w:pPr>
              <w:pStyle w:val="Compact"/>
              <w:jc w:val="center"/>
            </w:pPr>
            <w:r>
              <w:t xml:space="preserve">456 (68%)</w:t>
            </w:r>
          </w:p>
        </w:tc>
      </w:tr>
      <w:tr>
        <w:tc>
          <w:tcPr/>
          <w:p>
            <w:pPr>
              <w:pStyle w:val="Compact"/>
              <w:jc w:val="left"/>
            </w:pPr>
            <w:r>
              <w:t xml:space="preserve">Headache</w:t>
            </w:r>
          </w:p>
        </w:tc>
        <w:tc>
          <w:tcPr/>
          <w:p>
            <w:pPr>
              <w:pStyle w:val="Compact"/>
              <w:jc w:val="center"/>
            </w:pPr>
            <w:r>
              <w:t xml:space="preserve">1,424 (58%)</w:t>
            </w:r>
          </w:p>
        </w:tc>
        <w:tc>
          <w:tcPr/>
          <w:p>
            <w:pPr>
              <w:pStyle w:val="Compact"/>
              <w:jc w:val="center"/>
            </w:pPr>
            <w:r>
              <w:t xml:space="preserve">1,749 (71%)</w:t>
            </w:r>
          </w:p>
        </w:tc>
        <w:tc>
          <w:tcPr/>
          <w:p>
            <w:pPr>
              <w:pStyle w:val="Compact"/>
              <w:jc w:val="center"/>
            </w:pPr>
            <w:r>
              <w:t xml:space="preserve">188 (75%)</w:t>
            </w:r>
          </w:p>
        </w:tc>
        <w:tc>
          <w:tcPr/>
          <w:p>
            <w:pPr>
              <w:pStyle w:val="Compact"/>
              <w:jc w:val="center"/>
            </w:pPr>
            <w:r>
              <w:t xml:space="preserve">201 (80%)</w:t>
            </w:r>
          </w:p>
        </w:tc>
        <w:tc>
          <w:tcPr/>
          <w:p>
            <w:pPr>
              <w:pStyle w:val="Compact"/>
              <w:jc w:val="center"/>
            </w:pPr>
            <w:r>
              <w:t xml:space="preserve">337 (80%)</w:t>
            </w:r>
          </w:p>
        </w:tc>
        <w:tc>
          <w:tcPr/>
          <w:p>
            <w:pPr>
              <w:pStyle w:val="Compact"/>
              <w:jc w:val="center"/>
            </w:pPr>
            <w:r>
              <w:t xml:space="preserve">350 (83%)</w:t>
            </w:r>
          </w:p>
        </w:tc>
        <w:tc>
          <w:tcPr/>
          <w:p>
            <w:pPr>
              <w:pStyle w:val="Compact"/>
              <w:jc w:val="center"/>
            </w:pPr>
            <w:r>
              <w:t xml:space="preserve">525 (78%)</w:t>
            </w:r>
          </w:p>
        </w:tc>
        <w:tc>
          <w:tcPr/>
          <w:p>
            <w:pPr>
              <w:pStyle w:val="Compact"/>
              <w:jc w:val="center"/>
            </w:pPr>
            <w:r>
              <w:t xml:space="preserve">551 (82%)</w:t>
            </w:r>
          </w:p>
        </w:tc>
      </w:tr>
      <w:tr>
        <w:tc>
          <w:tcPr/>
          <w:p>
            <w:pPr>
              <w:pStyle w:val="Compact"/>
              <w:jc w:val="left"/>
            </w:pPr>
            <w:r>
              <w:t xml:space="preserve">Myalgia</w:t>
            </w:r>
          </w:p>
        </w:tc>
        <w:tc>
          <w:tcPr/>
          <w:p>
            <w:pPr>
              <w:pStyle w:val="Compact"/>
              <w:jc w:val="center"/>
            </w:pPr>
            <w:r>
              <w:t xml:space="preserve">999 (40%)</w:t>
            </w:r>
          </w:p>
        </w:tc>
        <w:tc>
          <w:tcPr/>
          <w:p>
            <w:pPr>
              <w:pStyle w:val="Compact"/>
              <w:jc w:val="center"/>
            </w:pPr>
            <w:r>
              <w:t xml:space="preserve">1,738 (70%)</w:t>
            </w:r>
          </w:p>
        </w:tc>
        <w:tc>
          <w:tcPr/>
          <w:p>
            <w:pPr>
              <w:pStyle w:val="Compact"/>
              <w:jc w:val="center"/>
            </w:pPr>
            <w:r>
              <w:t xml:space="preserve">164 (66%)</w:t>
            </w:r>
          </w:p>
        </w:tc>
        <w:tc>
          <w:tcPr/>
          <w:p>
            <w:pPr>
              <w:pStyle w:val="Compact"/>
              <w:jc w:val="center"/>
            </w:pPr>
            <w:r>
              <w:t xml:space="preserve">209 (84%)</w:t>
            </w:r>
          </w:p>
        </w:tc>
        <w:tc>
          <w:tcPr/>
          <w:p>
            <w:pPr>
              <w:pStyle w:val="Compact"/>
              <w:jc w:val="center"/>
            </w:pPr>
            <w:r>
              <w:t xml:space="preserve">324 (77%)</w:t>
            </w:r>
          </w:p>
        </w:tc>
        <w:tc>
          <w:tcPr/>
          <w:p>
            <w:pPr>
              <w:pStyle w:val="Compact"/>
              <w:jc w:val="center"/>
            </w:pPr>
            <w:r>
              <w:t xml:space="preserve">364 (87%)</w:t>
            </w:r>
          </w:p>
        </w:tc>
        <w:tc>
          <w:tcPr/>
          <w:p>
            <w:pPr>
              <w:pStyle w:val="Compact"/>
              <w:jc w:val="center"/>
            </w:pPr>
            <w:r>
              <w:t xml:space="preserve">488 (73%)</w:t>
            </w:r>
          </w:p>
        </w:tc>
        <w:tc>
          <w:tcPr/>
          <w:p>
            <w:pPr>
              <w:pStyle w:val="Compact"/>
              <w:jc w:val="center"/>
            </w:pPr>
            <w:r>
              <w:t xml:space="preserve">573 (86%)</w:t>
            </w:r>
          </w:p>
        </w:tc>
      </w:tr>
      <w:tr>
        <w:tc>
          <w:tcPr/>
          <w:p>
            <w:pPr>
              <w:pStyle w:val="Compact"/>
              <w:jc w:val="left"/>
            </w:pPr>
            <w:r>
              <w:t xml:space="preserve">Chills sweats</w:t>
            </w:r>
          </w:p>
        </w:tc>
        <w:tc>
          <w:tcPr/>
          <w:p>
            <w:pPr>
              <w:pStyle w:val="Compact"/>
              <w:jc w:val="center"/>
            </w:pPr>
            <w:r>
              <w:t xml:space="preserve">1,232 (50%)</w:t>
            </w:r>
          </w:p>
        </w:tc>
        <w:tc>
          <w:tcPr/>
          <w:p>
            <w:pPr>
              <w:pStyle w:val="Compact"/>
              <w:jc w:val="center"/>
            </w:pPr>
            <w:r>
              <w:t xml:space="preserve">1,367 (55%)</w:t>
            </w:r>
          </w:p>
        </w:tc>
        <w:tc>
          <w:tcPr/>
          <w:p>
            <w:pPr>
              <w:pStyle w:val="Compact"/>
              <w:jc w:val="center"/>
            </w:pPr>
            <w:r>
              <w:t xml:space="preserve">192 (77%)</w:t>
            </w:r>
          </w:p>
        </w:tc>
        <w:tc>
          <w:tcPr/>
          <w:p>
            <w:pPr>
              <w:pStyle w:val="Compact"/>
              <w:jc w:val="center"/>
            </w:pPr>
            <w:r>
              <w:t xml:space="preserve">199 (80%)</w:t>
            </w:r>
          </w:p>
        </w:tc>
        <w:tc>
          <w:tcPr/>
          <w:p>
            <w:pPr>
              <w:pStyle w:val="Compact"/>
              <w:jc w:val="center"/>
            </w:pPr>
            <w:r>
              <w:t xml:space="preserve">341 (81%)</w:t>
            </w:r>
          </w:p>
        </w:tc>
        <w:tc>
          <w:tcPr/>
          <w:p>
            <w:pPr>
              <w:pStyle w:val="Compact"/>
              <w:jc w:val="center"/>
            </w:pPr>
            <w:r>
              <w:t xml:space="preserve">331 (79%)</w:t>
            </w:r>
          </w:p>
        </w:tc>
        <w:tc>
          <w:tcPr/>
          <w:p>
            <w:pPr>
              <w:pStyle w:val="Compact"/>
              <w:jc w:val="center"/>
            </w:pPr>
            <w:r>
              <w:t xml:space="preserve">533 (80%)</w:t>
            </w:r>
          </w:p>
        </w:tc>
        <w:tc>
          <w:tcPr/>
          <w:p>
            <w:pPr>
              <w:pStyle w:val="Compact"/>
              <w:jc w:val="center"/>
            </w:pPr>
            <w:r>
              <w:t xml:space="preserve">530 (79%)</w:t>
            </w:r>
          </w:p>
        </w:tc>
      </w:tr>
      <w:tr>
        <w:tc>
          <w:tcPr/>
          <w:p>
            <w:pPr>
              <w:pStyle w:val="Compact"/>
              <w:jc w:val="left"/>
            </w:pPr>
            <w:r>
              <w:t xml:space="preserve">Subjective fever</w:t>
            </w:r>
          </w:p>
        </w:tc>
        <w:tc>
          <w:tcPr/>
          <w:p>
            <w:pPr>
              <w:pStyle w:val="Compact"/>
              <w:jc w:val="center"/>
            </w:pPr>
            <w:r>
              <w:t xml:space="preserve">1,197 (48%)</w:t>
            </w:r>
          </w:p>
        </w:tc>
        <w:tc>
          <w:tcPr/>
          <w:p>
            <w:pPr>
              <w:pStyle w:val="Compact"/>
              <w:jc w:val="center"/>
            </w:pPr>
            <w:r>
              <w:t xml:space="preserve">1,021 (41%)</w:t>
            </w:r>
          </w:p>
        </w:tc>
        <w:tc>
          <w:tcPr/>
          <w:p>
            <w:pPr>
              <w:pStyle w:val="Compact"/>
              <w:jc w:val="center"/>
            </w:pPr>
            <w:r>
              <w:t xml:space="preserve">184 (74%)</w:t>
            </w:r>
          </w:p>
        </w:tc>
        <w:tc>
          <w:tcPr/>
          <w:p>
            <w:pPr>
              <w:pStyle w:val="Compact"/>
              <w:jc w:val="center"/>
            </w:pPr>
            <w:r>
              <w:t xml:space="preserve">154 (62%)</w:t>
            </w:r>
          </w:p>
        </w:tc>
        <w:tc>
          <w:tcPr/>
          <w:p>
            <w:pPr>
              <w:pStyle w:val="Compact"/>
              <w:jc w:val="center"/>
            </w:pPr>
            <w:r>
              <w:t xml:space="preserve">324 (77%)</w:t>
            </w:r>
          </w:p>
        </w:tc>
        <w:tc>
          <w:tcPr/>
          <w:p>
            <w:pPr>
              <w:pStyle w:val="Compact"/>
              <w:jc w:val="center"/>
            </w:pPr>
            <w:r>
              <w:t xml:space="preserve">270 (64%)</w:t>
            </w:r>
          </w:p>
        </w:tc>
        <w:tc>
          <w:tcPr/>
          <w:p>
            <w:pPr>
              <w:pStyle w:val="Compact"/>
              <w:jc w:val="center"/>
            </w:pPr>
            <w:r>
              <w:t xml:space="preserve">508 (76%)</w:t>
            </w:r>
          </w:p>
        </w:tc>
        <w:tc>
          <w:tcPr/>
          <w:p>
            <w:pPr>
              <w:pStyle w:val="Compact"/>
              <w:jc w:val="center"/>
            </w:pPr>
            <w:r>
              <w:t xml:space="preserve">424 (63%)</w:t>
            </w:r>
          </w:p>
        </w:tc>
      </w:tr>
      <w:tr>
        <w:tc>
          <w:tcPr/>
          <w:p>
            <w:pPr>
              <w:pStyle w:val="Compact"/>
              <w:jc w:val="left"/>
            </w:pPr>
            <w:r>
              <w:t xml:space="preserve">Acute</w:t>
            </w:r>
          </w:p>
        </w:tc>
        <w:tc>
          <w:tcPr/>
          <w:p>
            <w:pPr>
              <w:pStyle w:val="Compact"/>
              <w:jc w:val="center"/>
            </w:pPr>
            <w:r>
              <w:t xml:space="preserve">771 (31%)</w:t>
            </w:r>
          </w:p>
        </w:tc>
        <w:tc>
          <w:tcPr/>
          <w:p>
            <w:pPr>
              <w:pStyle w:val="Compact"/>
              <w:jc w:val="center"/>
            </w:pPr>
            <w:r>
              <w:t xml:space="preserve">838 (34%)</w:t>
            </w:r>
          </w:p>
        </w:tc>
        <w:tc>
          <w:tcPr/>
          <w:p>
            <w:pPr>
              <w:pStyle w:val="Compact"/>
              <w:jc w:val="center"/>
            </w:pPr>
            <w:r>
              <w:t xml:space="preserve">123 (49%)</w:t>
            </w:r>
          </w:p>
        </w:tc>
        <w:tc>
          <w:tcPr/>
          <w:p>
            <w:pPr>
              <w:pStyle w:val="Compact"/>
              <w:jc w:val="center"/>
            </w:pPr>
            <w:r>
              <w:t xml:space="preserve">126 (50%)</w:t>
            </w:r>
          </w:p>
        </w:tc>
        <w:tc>
          <w:tcPr/>
          <w:p>
            <w:pPr>
              <w:pStyle w:val="Compact"/>
              <w:jc w:val="center"/>
            </w:pPr>
            <w:r>
              <w:t xml:space="preserve">235 (56%)</w:t>
            </w:r>
          </w:p>
        </w:tc>
        <w:tc>
          <w:tcPr/>
          <w:p>
            <w:pPr>
              <w:pStyle w:val="Compact"/>
              <w:jc w:val="center"/>
            </w:pPr>
            <w:r>
              <w:t xml:space="preserve">214 (51%)</w:t>
            </w:r>
          </w:p>
        </w:tc>
        <w:tc>
          <w:tcPr/>
          <w:p>
            <w:pPr>
              <w:pStyle w:val="Compact"/>
              <w:jc w:val="center"/>
            </w:pPr>
            <w:r>
              <w:t xml:space="preserve">358 (53%)</w:t>
            </w:r>
          </w:p>
        </w:tc>
        <w:tc>
          <w:tcPr/>
          <w:p>
            <w:pPr>
              <w:pStyle w:val="Compact"/>
              <w:jc w:val="center"/>
            </w:pPr>
            <w:r>
              <w:t xml:space="preserve">340 (51%)</w:t>
            </w:r>
          </w:p>
        </w:tc>
      </w:tr>
      <w:tr>
        <w:tc>
          <w:tcPr/>
          <w:p>
            <w:pPr>
              <w:pStyle w:val="Compact"/>
              <w:jc w:val="left"/>
            </w:pPr>
            <w:r>
              <w:t xml:space="preserve">Chest congestion</w:t>
            </w:r>
          </w:p>
        </w:tc>
        <w:tc>
          <w:tcPr/>
          <w:p>
            <w:pPr>
              <w:pStyle w:val="Compact"/>
              <w:jc w:val="center"/>
            </w:pPr>
            <w:r>
              <w:t xml:space="preserve">603 (24%)</w:t>
            </w:r>
          </w:p>
        </w:tc>
        <w:tc>
          <w:tcPr/>
          <w:p>
            <w:pPr>
              <w:pStyle w:val="Compact"/>
              <w:jc w:val="center"/>
            </w:pPr>
            <w:r>
              <w:t xml:space="preserve">1,159 (47%)</w:t>
            </w:r>
          </w:p>
        </w:tc>
        <w:tc>
          <w:tcPr/>
          <w:p>
            <w:pPr>
              <w:pStyle w:val="Compact"/>
              <w:jc w:val="center"/>
            </w:pPr>
            <w:r>
              <w:t xml:space="preserve">62 (25%)</w:t>
            </w:r>
          </w:p>
        </w:tc>
        <w:tc>
          <w:tcPr/>
          <w:p>
            <w:pPr>
              <w:pStyle w:val="Compact"/>
              <w:jc w:val="center"/>
            </w:pPr>
            <w:r>
              <w:t xml:space="preserve">127 (51%)</w:t>
            </w:r>
          </w:p>
        </w:tc>
        <w:tc>
          <w:tcPr/>
          <w:p>
            <w:pPr>
              <w:pStyle w:val="Compact"/>
              <w:jc w:val="center"/>
            </w:pPr>
            <w:r>
              <w:t xml:space="preserve">118 (28%)</w:t>
            </w:r>
          </w:p>
        </w:tc>
        <w:tc>
          <w:tcPr/>
          <w:p>
            <w:pPr>
              <w:pStyle w:val="Compact"/>
              <w:jc w:val="center"/>
            </w:pPr>
            <w:r>
              <w:t xml:space="preserve">221 (53%)</w:t>
            </w:r>
          </w:p>
        </w:tc>
        <w:tc>
          <w:tcPr/>
          <w:p>
            <w:pPr>
              <w:pStyle w:val="Compact"/>
              <w:jc w:val="center"/>
            </w:pPr>
            <w:r>
              <w:t xml:space="preserve">180 (27%)</w:t>
            </w:r>
          </w:p>
        </w:tc>
        <w:tc>
          <w:tcPr/>
          <w:p>
            <w:pPr>
              <w:pStyle w:val="Compact"/>
              <w:jc w:val="center"/>
            </w:pPr>
            <w:r>
              <w:t xml:space="preserve">348 (52%)</w:t>
            </w:r>
          </w:p>
        </w:tc>
      </w:tr>
      <w:tr>
        <w:tc>
          <w:tcPr/>
          <w:p>
            <w:pPr>
              <w:pStyle w:val="Compact"/>
              <w:jc w:val="left"/>
            </w:pPr>
            <w:r>
              <w:t xml:space="preserve">Swollen lymph nodes</w:t>
            </w:r>
          </w:p>
        </w:tc>
        <w:tc>
          <w:tcPr/>
          <w:p>
            <w:pPr>
              <w:pStyle w:val="Compact"/>
              <w:jc w:val="center"/>
            </w:pPr>
            <w:r>
              <w:t xml:space="preserve">610 (25%)</w:t>
            </w:r>
          </w:p>
        </w:tc>
        <w:tc>
          <w:tcPr/>
          <w:p>
            <w:pPr>
              <w:pStyle w:val="Compact"/>
              <w:jc w:val="center"/>
            </w:pPr>
            <w:r>
              <w:t xml:space="preserve">1,155 (47%)</w:t>
            </w:r>
          </w:p>
        </w:tc>
        <w:tc>
          <w:tcPr/>
          <w:p>
            <w:pPr>
              <w:pStyle w:val="Compact"/>
              <w:jc w:val="center"/>
            </w:pPr>
            <w:r>
              <w:t xml:space="preserve">42 (17%)</w:t>
            </w:r>
          </w:p>
        </w:tc>
        <w:tc>
          <w:tcPr/>
          <w:p>
            <w:pPr>
              <w:pStyle w:val="Compact"/>
              <w:jc w:val="center"/>
            </w:pPr>
            <w:r>
              <w:t xml:space="preserve">117 (47%)</w:t>
            </w:r>
          </w:p>
        </w:tc>
        <w:tc>
          <w:tcPr/>
          <w:p>
            <w:pPr>
              <w:pStyle w:val="Compact"/>
              <w:jc w:val="center"/>
            </w:pPr>
            <w:r>
              <w:t xml:space="preserve">72 (17%)</w:t>
            </w:r>
          </w:p>
        </w:tc>
        <w:tc>
          <w:tcPr/>
          <w:p>
            <w:pPr>
              <w:pStyle w:val="Compact"/>
              <w:jc w:val="center"/>
            </w:pPr>
            <w:r>
              <w:t xml:space="preserve">194 (46%)</w:t>
            </w:r>
          </w:p>
        </w:tc>
        <w:tc>
          <w:tcPr/>
          <w:p>
            <w:pPr>
              <w:pStyle w:val="Compact"/>
              <w:jc w:val="center"/>
            </w:pPr>
            <w:r>
              <w:t xml:space="preserve">114 (17%)</w:t>
            </w:r>
          </w:p>
        </w:tc>
        <w:tc>
          <w:tcPr/>
          <w:p>
            <w:pPr>
              <w:pStyle w:val="Compact"/>
              <w:jc w:val="center"/>
            </w:pPr>
            <w:r>
              <w:t xml:space="preserve">311 (46%)</w:t>
            </w:r>
          </w:p>
        </w:tc>
      </w:tr>
      <w:tr>
        <w:tc>
          <w:tcPr/>
          <w:p>
            <w:pPr>
              <w:pStyle w:val="Compact"/>
              <w:jc w:val="left"/>
            </w:pPr>
            <w:r>
              <w:t xml:space="preserve">Sneeze</w:t>
            </w:r>
          </w:p>
        </w:tc>
        <w:tc>
          <w:tcPr/>
          <w:p>
            <w:pPr>
              <w:pStyle w:val="Compact"/>
              <w:jc w:val="center"/>
            </w:pPr>
            <w:r>
              <w:t xml:space="preserve">315 (13%)</w:t>
            </w:r>
          </w:p>
        </w:tc>
        <w:tc>
          <w:tcPr/>
          <w:p>
            <w:pPr>
              <w:pStyle w:val="Compact"/>
              <w:jc w:val="center"/>
            </w:pPr>
            <w:r>
              <w:t xml:space="preserve">1,188 (48%)</w:t>
            </w:r>
          </w:p>
        </w:tc>
        <w:tc>
          <w:tcPr/>
          <w:p>
            <w:pPr>
              <w:pStyle w:val="Compact"/>
              <w:jc w:val="center"/>
            </w:pPr>
            <w:r>
              <w:t xml:space="preserve">28 (11%)</w:t>
            </w:r>
          </w:p>
        </w:tc>
        <w:tc>
          <w:tcPr/>
          <w:p>
            <w:pPr>
              <w:pStyle w:val="Compact"/>
              <w:jc w:val="center"/>
            </w:pPr>
            <w:r>
              <w:t xml:space="preserve">125 (50%)</w:t>
            </w:r>
          </w:p>
        </w:tc>
        <w:tc>
          <w:tcPr/>
          <w:p>
            <w:pPr>
              <w:pStyle w:val="Compact"/>
              <w:jc w:val="center"/>
            </w:pPr>
            <w:r>
              <w:t xml:space="preserve">58 (14%)</w:t>
            </w:r>
          </w:p>
        </w:tc>
        <w:tc>
          <w:tcPr/>
          <w:p>
            <w:pPr>
              <w:pStyle w:val="Compact"/>
              <w:jc w:val="center"/>
            </w:pPr>
            <w:r>
              <w:t xml:space="preserve">217 (52%)</w:t>
            </w:r>
          </w:p>
        </w:tc>
        <w:tc>
          <w:tcPr/>
          <w:p>
            <w:pPr>
              <w:pStyle w:val="Compact"/>
              <w:jc w:val="center"/>
            </w:pPr>
            <w:r>
              <w:t xml:space="preserve">86 (13%)</w:t>
            </w:r>
          </w:p>
        </w:tc>
        <w:tc>
          <w:tcPr/>
          <w:p>
            <w:pPr>
              <w:pStyle w:val="Compact"/>
              <w:jc w:val="center"/>
            </w:pPr>
            <w:r>
              <w:t xml:space="preserve">342 (51%)</w:t>
            </w:r>
          </w:p>
        </w:tc>
      </w:tr>
      <w:tr>
        <w:tc>
          <w:tcPr/>
          <w:p>
            <w:pPr>
              <w:pStyle w:val="Compact"/>
              <w:jc w:val="left"/>
            </w:pPr>
            <w:r>
              <w:t xml:space="preserve">Shortness of breath</w:t>
            </w:r>
          </w:p>
        </w:tc>
        <w:tc>
          <w:tcPr/>
          <w:p>
            <w:pPr>
              <w:pStyle w:val="Compact"/>
              <w:jc w:val="center"/>
            </w:pPr>
            <w:r>
              <w:t xml:space="preserve">320 (13%)</w:t>
            </w:r>
          </w:p>
        </w:tc>
        <w:tc>
          <w:tcPr/>
          <w:p>
            <w:pPr>
              <w:pStyle w:val="Compact"/>
              <w:jc w:val="center"/>
            </w:pPr>
            <w:r>
              <w:t xml:space="preserve">791 (32%)</w:t>
            </w:r>
          </w:p>
        </w:tc>
        <w:tc>
          <w:tcPr/>
          <w:p>
            <w:pPr>
              <w:pStyle w:val="Compact"/>
              <w:jc w:val="center"/>
            </w:pPr>
            <w:r>
              <w:t xml:space="preserve">33 (13%)</w:t>
            </w:r>
          </w:p>
        </w:tc>
        <w:tc>
          <w:tcPr/>
          <w:p>
            <w:pPr>
              <w:pStyle w:val="Compact"/>
              <w:jc w:val="center"/>
            </w:pPr>
            <w:r>
              <w:t xml:space="preserve">91 (36%)</w:t>
            </w:r>
          </w:p>
        </w:tc>
        <w:tc>
          <w:tcPr/>
          <w:p>
            <w:pPr>
              <w:pStyle w:val="Compact"/>
              <w:jc w:val="center"/>
            </w:pPr>
            <w:r>
              <w:t xml:space="preserve">78 (19%)</w:t>
            </w:r>
          </w:p>
        </w:tc>
        <w:tc>
          <w:tcPr/>
          <w:p>
            <w:pPr>
              <w:pStyle w:val="Compact"/>
              <w:jc w:val="center"/>
            </w:pPr>
            <w:r>
              <w:t xml:space="preserve">154 (37%)</w:t>
            </w:r>
          </w:p>
        </w:tc>
        <w:tc>
          <w:tcPr/>
          <w:p>
            <w:pPr>
              <w:pStyle w:val="Compact"/>
              <w:jc w:val="center"/>
            </w:pPr>
            <w:r>
              <w:t xml:space="preserve">111 (17%)</w:t>
            </w:r>
          </w:p>
        </w:tc>
        <w:tc>
          <w:tcPr/>
          <w:p>
            <w:pPr>
              <w:pStyle w:val="Compact"/>
              <w:jc w:val="center"/>
            </w:pPr>
            <w:r>
              <w:t xml:space="preserve">245 (37%)</w:t>
            </w:r>
          </w:p>
        </w:tc>
      </w:tr>
      <w:tr>
        <w:tc>
          <w:tcPr/>
          <w:p>
            <w:pPr>
              <w:pStyle w:val="Compact"/>
              <w:jc w:val="left"/>
            </w:pPr>
            <w:r>
              <w:t xml:space="preserve">Wheeze</w:t>
            </w:r>
          </w:p>
        </w:tc>
        <w:tc>
          <w:tcPr/>
          <w:p>
            <w:pPr>
              <w:pStyle w:val="Compact"/>
              <w:jc w:val="center"/>
            </w:pPr>
            <w:r>
              <w:t xml:space="preserve">241 (9.7%)</w:t>
            </w:r>
          </w:p>
        </w:tc>
        <w:tc>
          <w:tcPr/>
          <w:p>
            <w:pPr>
              <w:pStyle w:val="Compact"/>
              <w:jc w:val="center"/>
            </w:pPr>
            <w:r>
              <w:t xml:space="preserve">621 (25%)</w:t>
            </w:r>
          </w:p>
        </w:tc>
        <w:tc>
          <w:tcPr/>
          <w:p>
            <w:pPr>
              <w:pStyle w:val="Compact"/>
              <w:jc w:val="center"/>
            </w:pPr>
            <w:r>
              <w:t xml:space="preserve">31 (12%)</w:t>
            </w:r>
          </w:p>
        </w:tc>
        <w:tc>
          <w:tcPr/>
          <w:p>
            <w:pPr>
              <w:pStyle w:val="Compact"/>
              <w:jc w:val="center"/>
            </w:pPr>
            <w:r>
              <w:t xml:space="preserve">83 (33%)</w:t>
            </w:r>
          </w:p>
        </w:tc>
        <w:tc>
          <w:tcPr/>
          <w:p>
            <w:pPr>
              <w:pStyle w:val="Compact"/>
              <w:jc w:val="center"/>
            </w:pPr>
            <w:r>
              <w:t xml:space="preserve">42 (10%)</w:t>
            </w:r>
          </w:p>
        </w:tc>
        <w:tc>
          <w:tcPr/>
          <w:p>
            <w:pPr>
              <w:pStyle w:val="Compact"/>
              <w:jc w:val="center"/>
            </w:pPr>
            <w:r>
              <w:t xml:space="preserve">106 (25%)</w:t>
            </w:r>
          </w:p>
        </w:tc>
        <w:tc>
          <w:tcPr/>
          <w:p>
            <w:pPr>
              <w:pStyle w:val="Compact"/>
              <w:jc w:val="center"/>
            </w:pPr>
            <w:r>
              <w:t xml:space="preserve">73 (11%)</w:t>
            </w:r>
          </w:p>
        </w:tc>
        <w:tc>
          <w:tcPr/>
          <w:p>
            <w:pPr>
              <w:pStyle w:val="Compact"/>
              <w:jc w:val="center"/>
            </w:pPr>
            <w:r>
              <w:t xml:space="preserve">189 (28%)</w:t>
            </w:r>
          </w:p>
        </w:tc>
      </w:tr>
      <w:tr>
        <w:tc>
          <w:tcPr/>
          <w:p>
            <w:pPr>
              <w:pStyle w:val="Compact"/>
              <w:jc w:val="left"/>
            </w:pPr>
            <w:r>
              <w:t xml:space="preserve">Ear pain</w:t>
            </w:r>
          </w:p>
        </w:tc>
        <w:tc>
          <w:tcPr/>
          <w:p>
            <w:pPr>
              <w:pStyle w:val="Compact"/>
              <w:jc w:val="center"/>
            </w:pPr>
            <w:r>
              <w:t xml:space="preserve">275 (11%)</w:t>
            </w:r>
          </w:p>
        </w:tc>
        <w:tc>
          <w:tcPr/>
          <w:p>
            <w:pPr>
              <w:pStyle w:val="Compact"/>
              <w:jc w:val="center"/>
            </w:pPr>
            <w:r>
              <w:t xml:space="preserve">619 (25%)</w:t>
            </w:r>
          </w:p>
        </w:tc>
        <w:tc>
          <w:tcPr/>
          <w:p>
            <w:pPr>
              <w:pStyle w:val="Compact"/>
              <w:jc w:val="center"/>
            </w:pPr>
            <w:r>
              <w:t xml:space="preserve">19 (7.6%)</w:t>
            </w:r>
          </w:p>
        </w:tc>
        <w:tc>
          <w:tcPr/>
          <w:p>
            <w:pPr>
              <w:pStyle w:val="Compact"/>
              <w:jc w:val="center"/>
            </w:pPr>
            <w:r>
              <w:t xml:space="preserve">62 (25%)</w:t>
            </w:r>
          </w:p>
        </w:tc>
        <w:tc>
          <w:tcPr/>
          <w:p>
            <w:pPr>
              <w:pStyle w:val="Compact"/>
              <w:jc w:val="center"/>
            </w:pPr>
            <w:r>
              <w:t xml:space="preserve">50 (12%)</w:t>
            </w:r>
          </w:p>
        </w:tc>
        <w:tc>
          <w:tcPr/>
          <w:p>
            <w:pPr>
              <w:pStyle w:val="Compact"/>
              <w:jc w:val="center"/>
            </w:pPr>
            <w:r>
              <w:t xml:space="preserve">93 (22%)</w:t>
            </w:r>
          </w:p>
        </w:tc>
        <w:tc>
          <w:tcPr/>
          <w:p>
            <w:pPr>
              <w:pStyle w:val="Compact"/>
              <w:jc w:val="center"/>
            </w:pPr>
            <w:r>
              <w:t xml:space="preserve">69 (10%)</w:t>
            </w:r>
          </w:p>
        </w:tc>
        <w:tc>
          <w:tcPr/>
          <w:p>
            <w:pPr>
              <w:pStyle w:val="Compact"/>
              <w:jc w:val="center"/>
            </w:pPr>
            <w:r>
              <w:t xml:space="preserve">155 (23%)</w:t>
            </w:r>
          </w:p>
        </w:tc>
      </w:tr>
      <w:tr>
        <w:tc>
          <w:tcPr/>
          <w:p>
            <w:pPr>
              <w:pStyle w:val="Compact"/>
              <w:jc w:val="left"/>
            </w:pPr>
            <w:r>
              <w:t xml:space="preserve">Eye pain</w:t>
            </w:r>
          </w:p>
        </w:tc>
        <w:tc>
          <w:tcPr/>
          <w:p>
            <w:pPr>
              <w:pStyle w:val="Compact"/>
              <w:jc w:val="center"/>
            </w:pPr>
            <w:r>
              <w:t xml:space="preserve">348 (14%)</w:t>
            </w:r>
          </w:p>
        </w:tc>
        <w:tc>
          <w:tcPr/>
          <w:p>
            <w:pPr>
              <w:pStyle w:val="Compact"/>
              <w:jc w:val="center"/>
            </w:pPr>
            <w:r>
              <w:t xml:space="preserve">303 (12%)</w:t>
            </w:r>
          </w:p>
        </w:tc>
        <w:tc>
          <w:tcPr/>
          <w:p>
            <w:pPr>
              <w:pStyle w:val="Compact"/>
              <w:jc w:val="center"/>
            </w:pPr>
            <w:r>
              <w:t xml:space="preserve">84 (34%)</w:t>
            </w:r>
          </w:p>
        </w:tc>
        <w:tc>
          <w:tcPr/>
          <w:p>
            <w:pPr>
              <w:pStyle w:val="Compact"/>
              <w:jc w:val="center"/>
            </w:pPr>
            <w:r>
              <w:t xml:space="preserve">40 (16%)</w:t>
            </w:r>
          </w:p>
        </w:tc>
        <w:tc>
          <w:tcPr/>
          <w:p>
            <w:pPr>
              <w:pStyle w:val="Compact"/>
              <w:jc w:val="center"/>
            </w:pPr>
            <w:r>
              <w:t xml:space="preserve">112 (27%)</w:t>
            </w:r>
          </w:p>
        </w:tc>
        <w:tc>
          <w:tcPr/>
          <w:p>
            <w:pPr>
              <w:pStyle w:val="Compact"/>
              <w:jc w:val="center"/>
            </w:pPr>
            <w:r>
              <w:t xml:space="preserve">63 (15%)</w:t>
            </w:r>
          </w:p>
        </w:tc>
        <w:tc>
          <w:tcPr/>
          <w:p>
            <w:pPr>
              <w:pStyle w:val="Compact"/>
              <w:jc w:val="center"/>
            </w:pPr>
            <w:r>
              <w:t xml:space="preserve">196 (29%)</w:t>
            </w:r>
          </w:p>
        </w:tc>
        <w:tc>
          <w:tcPr/>
          <w:p>
            <w:pPr>
              <w:pStyle w:val="Compact"/>
              <w:jc w:val="center"/>
            </w:pPr>
            <w:r>
              <w:t xml:space="preserve">103 (15%)</w:t>
            </w:r>
          </w:p>
        </w:tc>
      </w:tr>
      <w:tr>
        <w:tc>
          <w:tcPr/>
          <w:p>
            <w:pPr>
              <w:pStyle w:val="Compact"/>
              <w:jc w:val="left"/>
            </w:pPr>
            <w:r>
              <w:t xml:space="preserve">Chest pain</w:t>
            </w:r>
          </w:p>
        </w:tc>
        <w:tc>
          <w:tcPr/>
          <w:p>
            <w:pPr>
              <w:pStyle w:val="Compact"/>
              <w:jc w:val="center"/>
            </w:pPr>
            <w:r>
              <w:t xml:space="preserve">219 (8.8%)</w:t>
            </w:r>
          </w:p>
        </w:tc>
        <w:tc>
          <w:tcPr/>
          <w:p>
            <w:pPr>
              <w:pStyle w:val="Compact"/>
              <w:jc w:val="center"/>
            </w:pPr>
            <w:r>
              <w:t xml:space="preserve">490 (20%)</w:t>
            </w:r>
          </w:p>
        </w:tc>
        <w:tc>
          <w:tcPr/>
          <w:p>
            <w:pPr>
              <w:pStyle w:val="Compact"/>
              <w:jc w:val="center"/>
            </w:pPr>
            <w:r>
              <w:t xml:space="preserve">22 (8.8%)</w:t>
            </w:r>
          </w:p>
        </w:tc>
        <w:tc>
          <w:tcPr/>
          <w:p>
            <w:pPr>
              <w:pStyle w:val="Compact"/>
              <w:jc w:val="center"/>
            </w:pPr>
            <w:r>
              <w:t xml:space="preserve">68 (27%)</w:t>
            </w:r>
          </w:p>
        </w:tc>
        <w:tc>
          <w:tcPr/>
          <w:p>
            <w:pPr>
              <w:pStyle w:val="Compact"/>
              <w:jc w:val="center"/>
            </w:pPr>
            <w:r>
              <w:t xml:space="preserve">47 (11%)</w:t>
            </w:r>
          </w:p>
        </w:tc>
        <w:tc>
          <w:tcPr/>
          <w:p>
            <w:pPr>
              <w:pStyle w:val="Compact"/>
              <w:jc w:val="center"/>
            </w:pPr>
            <w:r>
              <w:t xml:space="preserve">115 (27%)</w:t>
            </w:r>
          </w:p>
        </w:tc>
        <w:tc>
          <w:tcPr/>
          <w:p>
            <w:pPr>
              <w:pStyle w:val="Compact"/>
              <w:jc w:val="center"/>
            </w:pPr>
            <w:r>
              <w:t xml:space="preserve">69 (10%)</w:t>
            </w:r>
          </w:p>
        </w:tc>
        <w:tc>
          <w:tcPr/>
          <w:p>
            <w:pPr>
              <w:pStyle w:val="Compact"/>
              <w:jc w:val="center"/>
            </w:pPr>
            <w:r>
              <w:t xml:space="preserve">183 (27%)</w:t>
            </w:r>
          </w:p>
        </w:tc>
      </w:tr>
      <w:tr>
        <w:tc>
          <w:tcPr/>
          <w:p>
            <w:pPr>
              <w:pStyle w:val="Compact"/>
              <w:jc w:val="left"/>
            </w:pPr>
            <w:r>
              <w:t xml:space="preserve">Itchy eye</w:t>
            </w:r>
          </w:p>
        </w:tc>
        <w:tc>
          <w:tcPr/>
          <w:p>
            <w:pPr>
              <w:pStyle w:val="Compact"/>
              <w:jc w:val="center"/>
            </w:pPr>
            <w:r>
              <w:t xml:space="preserve">126 (5.1%)</w:t>
            </w:r>
          </w:p>
        </w:tc>
        <w:tc>
          <w:tcPr/>
          <w:p>
            <w:pPr>
              <w:pStyle w:val="Compact"/>
              <w:jc w:val="center"/>
            </w:pPr>
            <w:r>
              <w:t xml:space="preserve">535 (22%)</w:t>
            </w:r>
          </w:p>
        </w:tc>
        <w:tc>
          <w:tcPr/>
          <w:p>
            <w:pPr>
              <w:pStyle w:val="Compact"/>
              <w:jc w:val="center"/>
            </w:pPr>
            <w:r>
              <w:t xml:space="preserve">8 (3.2%)</w:t>
            </w:r>
          </w:p>
        </w:tc>
        <w:tc>
          <w:tcPr/>
          <w:p>
            <w:pPr>
              <w:pStyle w:val="Compact"/>
              <w:jc w:val="center"/>
            </w:pPr>
            <w:r>
              <w:t xml:space="preserve">52 (21%)</w:t>
            </w:r>
          </w:p>
        </w:tc>
        <w:tc>
          <w:tcPr/>
          <w:p>
            <w:pPr>
              <w:pStyle w:val="Compact"/>
              <w:jc w:val="center"/>
            </w:pPr>
            <w:r>
              <w:t xml:space="preserve">29 (6.9%)</w:t>
            </w:r>
          </w:p>
        </w:tc>
        <w:tc>
          <w:tcPr/>
          <w:p>
            <w:pPr>
              <w:pStyle w:val="Compact"/>
              <w:jc w:val="center"/>
            </w:pPr>
            <w:r>
              <w:t xml:space="preserve">106 (25%)</w:t>
            </w:r>
          </w:p>
        </w:tc>
        <w:tc>
          <w:tcPr/>
          <w:p>
            <w:pPr>
              <w:pStyle w:val="Compact"/>
              <w:jc w:val="center"/>
            </w:pPr>
            <w:r>
              <w:t xml:space="preserve">37 (5.5%)</w:t>
            </w:r>
          </w:p>
        </w:tc>
        <w:tc>
          <w:tcPr/>
          <w:p>
            <w:pPr>
              <w:pStyle w:val="Compact"/>
              <w:jc w:val="center"/>
            </w:pPr>
            <w:r>
              <w:t xml:space="preserve">158 (24%)</w:t>
            </w:r>
          </w:p>
        </w:tc>
      </w:tr>
      <w:tr>
        <w:tc>
          <w:tcPr/>
          <w:p>
            <w:pPr>
              <w:pStyle w:val="Compact"/>
              <w:jc w:val="left"/>
            </w:pPr>
            <w:r>
              <w:t xml:space="preserve">Tooth pain</w:t>
            </w:r>
          </w:p>
        </w:tc>
        <w:tc>
          <w:tcPr/>
          <w:p>
            <w:pPr>
              <w:pStyle w:val="Compact"/>
              <w:jc w:val="center"/>
            </w:pPr>
            <w:r>
              <w:t xml:space="preserve">52 (2.1%)</w:t>
            </w:r>
          </w:p>
        </w:tc>
        <w:tc>
          <w:tcPr/>
          <w:p>
            <w:pPr>
              <w:pStyle w:val="Compact"/>
              <w:jc w:val="center"/>
            </w:pPr>
            <w:r>
              <w:t xml:space="preserve">506 (20%)</w:t>
            </w:r>
          </w:p>
        </w:tc>
        <w:tc>
          <w:tcPr/>
          <w:p>
            <w:pPr>
              <w:pStyle w:val="Compact"/>
              <w:jc w:val="center"/>
            </w:pPr>
            <w:r>
              <w:t xml:space="preserve">2 (0.8%)</w:t>
            </w:r>
          </w:p>
        </w:tc>
        <w:tc>
          <w:tcPr/>
          <w:p>
            <w:pPr>
              <w:pStyle w:val="Compact"/>
              <w:jc w:val="center"/>
            </w:pPr>
            <w:r>
              <w:t xml:space="preserve">60 (24%)</w:t>
            </w:r>
          </w:p>
        </w:tc>
        <w:tc>
          <w:tcPr/>
          <w:p>
            <w:pPr>
              <w:pStyle w:val="Compact"/>
              <w:jc w:val="center"/>
            </w:pPr>
            <w:r>
              <w:t xml:space="preserve">5 (1.2%)</w:t>
            </w:r>
          </w:p>
        </w:tc>
        <w:tc>
          <w:tcPr/>
          <w:p>
            <w:pPr>
              <w:pStyle w:val="Compact"/>
              <w:jc w:val="center"/>
            </w:pPr>
            <w:r>
              <w:t xml:space="preserve">79 (19%)</w:t>
            </w:r>
          </w:p>
        </w:tc>
        <w:tc>
          <w:tcPr/>
          <w:p>
            <w:pPr>
              <w:pStyle w:val="Compact"/>
              <w:jc w:val="center"/>
            </w:pPr>
            <w:r>
              <w:t xml:space="preserve">7 (1.0%)</w:t>
            </w:r>
          </w:p>
        </w:tc>
        <w:tc>
          <w:tcPr/>
          <w:p>
            <w:pPr>
              <w:pStyle w:val="Compact"/>
              <w:jc w:val="center"/>
            </w:pPr>
            <w:r>
              <w:t xml:space="preserve">139 (21%)</w:t>
            </w:r>
          </w:p>
        </w:tc>
      </w:tr>
    </w:tbl>
    <w:bookmarkEnd w:id="28"/>
    <w:bookmarkStart w:id="35" w:name="interrater-agreement"/>
    <w:p>
      <w:pPr>
        <w:pStyle w:val="Heading2"/>
      </w:pPr>
      <w:r>
        <w:rPr>
          <w:rStyle w:val="SectionNumber"/>
        </w:rPr>
        <w:t xml:space="preserve">3.2</w:t>
      </w:r>
      <w:r>
        <w:tab/>
      </w:r>
      <w:r>
        <w:t xml:space="preserve">Interrater agreement</w:t>
      </w:r>
    </w:p>
    <w:p>
      <w:pPr>
        <w:pStyle w:val="FirstParagraph"/>
      </w:pPr>
      <w:r>
        <w:t xml:space="preserve">To assess the agreement between clinicians and patients for each symptom, we initially used Cohen’s kappa statistic. The Cohen’s kappa results are reported in Figure</w:t>
      </w:r>
      <w:r>
        <w:t xml:space="preserve"> </w:t>
      </w:r>
      <w:r>
        <w:t xml:space="preserve">3.1</w:t>
      </w:r>
      <w:r>
        <w:t xml:space="preserve">.</w:t>
      </w:r>
    </w:p>
    <w:p>
      <w:pPr>
        <w:pStyle w:val="CaptionedFigure"/>
      </w:pPr>
      <w:r>
        <w:drawing>
          <wp:inline>
            <wp:extent cx="5334000" cy="3556000"/>
            <wp:effectExtent b="0" l="0" r="0" t="0"/>
            <wp:docPr descr="Figure 3.1: Cohen’s kappa values computed for each symptom, where the doctor and the patient were considered independent raters. Note that the highest level of qualitative agreement according to the previously published clinical guidelines is moderate." title="" id="30" name="Picture"/>
            <a:graphic>
              <a:graphicData uri="http://schemas.openxmlformats.org/drawingml/2006/picture">
                <pic:pic>
                  <pic:nvPicPr>
                    <pic:cNvPr descr="../../Results/Figures/all_kappa_plot.tiff"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3.1: Cohen’s kappa values computed for each symptom, where the doctor and the patient were considered independent raters. Note that the highest level of qualitative agreement according to the previously published clinical guidelines is moderate.</w:t>
      </w:r>
    </w:p>
    <w:p>
      <w:pPr>
        <w:pStyle w:val="BodyText"/>
      </w:pPr>
      <w:r>
        <w:t xml:space="preserve">Again due to the noted issues with interpretation of kappa, we computed additional summary statistics which are shown in Figure</w:t>
      </w:r>
      <w:r>
        <w:t xml:space="preserve"> </w:t>
      </w:r>
      <w:r>
        <w:t xml:space="preserve">3.2</w:t>
      </w:r>
    </w:p>
    <w:p>
      <w:pPr>
        <w:pStyle w:val="CaptionedFigure"/>
      </w:pPr>
      <w:r>
        <w:drawing>
          <wp:inline>
            <wp:extent cx="5334000" cy="3556000"/>
            <wp:effectExtent b="0" l="0" r="0" t="0"/>
            <wp:docPr descr="Figure 3.2: Due to the known issues with the interpretation of Cohen’s kappa’ statistic, we compred several alternative IRR statistics. While Krippendorf’s alpha values are quite different from the other statistics, Gwet’s AC1 and PABAK, both considered corrected versions of Cohen’s kappa, show the same general trends. In general the value of Gwet’s AC1 is higher, while the value of PABAK is about the same." title="" id="33" name="Picture"/>
            <a:graphic>
              <a:graphicData uri="http://schemas.openxmlformats.org/drawingml/2006/picture">
                <pic:pic>
                  <pic:nvPicPr>
                    <pic:cNvPr descr="../../Results/Figures/irr_panel_plot.tiff"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3.2: Due to the known issues with the interpretation of Cohen’s kappa’ statistic, we compred several alternative IRR statistics. While Krippendorf’s alpha values are quite different from the other statistics, Gwet’s AC1 and PABAK, both considered corrected versions of Cohen’s kappa, show the same general trends. In general the value of Gwet’s AC1 is higher, while the value of PABAK is about the same.</w:t>
      </w:r>
    </w:p>
    <w:p>
      <w:pPr>
        <w:pStyle w:val="BodyText"/>
      </w:pPr>
      <w:r>
        <w:t xml:space="preserve">TODO make a table of Kappa values for each of the three different subsamples, these only include the entire sample.</w:t>
      </w:r>
    </w:p>
    <w:bookmarkEnd w:id="35"/>
    <w:bookmarkEnd w:id="36"/>
    <w:bookmarkStart w:id="39" w:name="clinical-prediction-rules"/>
    <w:p>
      <w:pPr>
        <w:pStyle w:val="Heading1"/>
      </w:pPr>
      <w:r>
        <w:rPr>
          <w:rStyle w:val="SectionNumber"/>
        </w:rPr>
        <w:t xml:space="preserve">4</w:t>
      </w:r>
      <w:r>
        <w:tab/>
      </w:r>
      <w:r>
        <w:t xml:space="preserve">Clinical prediction rules</w:t>
      </w:r>
    </w:p>
    <w:bookmarkStart w:id="37" w:name="blah"/>
    <w:p>
      <w:pPr>
        <w:pStyle w:val="Heading2"/>
      </w:pPr>
      <w:r>
        <w:rPr>
          <w:rStyle w:val="SectionNumber"/>
        </w:rPr>
        <w:t xml:space="preserve">4.1</w:t>
      </w:r>
      <w:r>
        <w:tab/>
      </w:r>
      <w:r>
        <w:t xml:space="preserve">Blah</w:t>
      </w:r>
    </w:p>
    <w:bookmarkEnd w:id="37"/>
    <w:bookmarkStart w:id="38" w:name="bland-altman-analysis"/>
    <w:p>
      <w:pPr>
        <w:pStyle w:val="Heading2"/>
      </w:pPr>
      <w:r>
        <w:rPr>
          <w:rStyle w:val="SectionNumber"/>
        </w:rPr>
        <w:t xml:space="preserve">4.2</w:t>
      </w:r>
      <w:r>
        <w:tab/>
      </w:r>
      <w:r>
        <w:t xml:space="preserve">Bland-Altman analysis</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tiff" /><Relationship Type="http://schemas.openxmlformats.org/officeDocument/2006/relationships/image" Id="rId21" Target="media/rId21.tiff" /><Relationship Type="http://schemas.openxmlformats.org/officeDocument/2006/relationships/image" Id="rId24" Target="media/rId24.tiff" /><Relationship Type="http://schemas.openxmlformats.org/officeDocument/2006/relationships/image" Id="rId32" Target="media/rId32.tif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Symptom Agreement Project Report</dc:title>
  <dc:creator>W. Zane Billings, Annika Cleven, Jacqueline Dworaczyk, Brian McKay, Ariella Perry Dale, Mark Ebell, Andreas Handel</dc:creator>
  <cp:keywords/>
  <dcterms:created xsi:type="dcterms:W3CDTF">2022-08-16T00:11:34Z</dcterms:created>
  <dcterms:modified xsi:type="dcterms:W3CDTF">2022-08-16T00:11:34Z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complete write-up of all the work that was done as part of the Symptom Agreement project. I (Zane) was having trouble writing the manuscript, so decided to complete a full writeup of all of our results and methods while Annika was still here. (Unfortunately we got delayed when Zane got COVID.) This will document everything that we have as a finished figure or table to aid in choosing what should be reported in the manuscript. This could potentially also be used by anyone who wants to work on this data in the future.</vt:lpwstr>
  </property>
  <property fmtid="{D5CDD505-2E9C-101B-9397-08002B2CF9AE}" pid="3" name="csl">
    <vt:lpwstr>american-medical-association.csl</vt:lpwstr>
  </property>
  <property fmtid="{D5CDD505-2E9C-101B-9397-08002B2CF9AE}" pid="4" name="editor_options">
    <vt:lpwstr/>
  </property>
  <property fmtid="{D5CDD505-2E9C-101B-9397-08002B2CF9AE}" pid="5" name="output">
    <vt:lpwstr/>
  </property>
</Properties>
</file>