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94A8" w14:textId="77777777" w:rsidR="006E5A9F" w:rsidRDefault="00000000">
      <w:pPr>
        <w:pStyle w:val="Title"/>
      </w:pPr>
      <w:r>
        <w:t>Feasibility of proposed dissertation aims</w:t>
      </w:r>
    </w:p>
    <w:p w14:paraId="47089D04" w14:textId="77777777" w:rsidR="006E5A9F" w:rsidRDefault="00000000">
      <w:pPr>
        <w:pStyle w:val="Author"/>
      </w:pPr>
      <w:r>
        <w:t>Zane Billings</w:t>
      </w:r>
    </w:p>
    <w:p w14:paraId="307C7955" w14:textId="77777777" w:rsidR="006E5A9F" w:rsidRDefault="00000000">
      <w:pPr>
        <w:pStyle w:val="Date"/>
      </w:pPr>
      <w:r>
        <w:t>2022-12-05</w:t>
      </w:r>
    </w:p>
    <w:p w14:paraId="32478FFD" w14:textId="77777777" w:rsidR="006E5A9F" w:rsidRDefault="00000000">
      <w:pPr>
        <w:pStyle w:val="Abstract"/>
      </w:pPr>
      <w:r>
        <w:t xml:space="preserve">This document is based on my </w:t>
      </w:r>
      <w:hyperlink r:id="rId7">
        <w:r>
          <w:rPr>
            <w:rStyle w:val="Hyperlink"/>
          </w:rPr>
          <w:t>dissertation ideas list</w:t>
        </w:r>
      </w:hyperlink>
      <w:r>
        <w:t>. This is a compilation of exploratory data analyses with some writeup to determine if specific aims would be feasible for my dissertation.</w:t>
      </w:r>
    </w:p>
    <w:p w14:paraId="7E6BBC24" w14:textId="77777777" w:rsidR="006E5A9F" w:rsidRDefault="00000000">
      <w:pPr>
        <w:pStyle w:val="Abstract"/>
      </w:pPr>
      <w:r>
        <w:t>Our exploratory data analyses use vaccine cohort data collected by Ted Ross at the University of Georgia. Data are from the UGAFluVac cohort (2016 – present) as well as two previous studies conducted in Pennsylvania and Florida. All studies collected longitudinal responses to a seasonal influenza vaccine from an open cohort and took serum samples at the day of vaccination and 21 or 28 days post-vaccination. Serum samples were used for HAI assays against the vaccine strain as well as a panel of heterologous historical strains, with the panel being updated as the vaccine recommendations changed.</w:t>
      </w:r>
    </w:p>
    <w:p w14:paraId="061DAC1D" w14:textId="77777777" w:rsidR="006E5A9F" w:rsidRDefault="00000000">
      <w:pPr>
        <w:pStyle w:val="Abstract"/>
      </w:pPr>
      <w:r>
        <w:t>If possible, we plan to incorporate additional data from several other studies, with data accessible as part of the DIVERsity grant collaboration.</w:t>
      </w:r>
    </w:p>
    <w:sdt>
      <w:sdtPr>
        <w:rPr>
          <w:rFonts w:asciiTheme="minorHAnsi" w:eastAsiaTheme="minorHAnsi" w:hAnsiTheme="minorHAnsi" w:cstheme="minorBidi"/>
          <w:color w:val="auto"/>
          <w:sz w:val="24"/>
          <w:szCs w:val="24"/>
        </w:rPr>
        <w:id w:val="2017956266"/>
        <w:docPartObj>
          <w:docPartGallery w:val="Table of Contents"/>
          <w:docPartUnique/>
        </w:docPartObj>
      </w:sdtPr>
      <w:sdtContent>
        <w:p w14:paraId="3B6091E7" w14:textId="77777777" w:rsidR="006E5A9F" w:rsidRDefault="00000000">
          <w:pPr>
            <w:pStyle w:val="TOCHeading"/>
          </w:pPr>
          <w:r>
            <w:t>Table of contents</w:t>
          </w:r>
        </w:p>
        <w:p w14:paraId="02CA1BB2" w14:textId="77777777" w:rsidR="0040409F" w:rsidRDefault="00000000">
          <w:pPr>
            <w:pStyle w:val="TOC1"/>
            <w:tabs>
              <w:tab w:val="right" w:leader="dot" w:pos="9350"/>
            </w:tabs>
            <w:rPr>
              <w:noProof/>
            </w:rPr>
          </w:pPr>
          <w:r>
            <w:fldChar w:fldCharType="begin"/>
          </w:r>
          <w:r>
            <w:instrText>TOC \o "1-1" \h \z \u</w:instrText>
          </w:r>
          <w:r>
            <w:fldChar w:fldCharType="separate"/>
          </w:r>
          <w:hyperlink w:anchor="_Toc121204960" w:history="1">
            <w:r w:rsidR="0040409F" w:rsidRPr="00ED4AA9">
              <w:rPr>
                <w:rStyle w:val="Hyperlink"/>
                <w:noProof/>
              </w:rPr>
              <w:t>1. Quantify the effect of preexisting immunity on heterologous humoral immune response after recieving a seasonal influenza vaccine.</w:t>
            </w:r>
            <w:r w:rsidR="0040409F">
              <w:rPr>
                <w:noProof/>
                <w:webHidden/>
              </w:rPr>
              <w:tab/>
            </w:r>
            <w:r w:rsidR="0040409F">
              <w:rPr>
                <w:noProof/>
                <w:webHidden/>
              </w:rPr>
              <w:fldChar w:fldCharType="begin"/>
            </w:r>
            <w:r w:rsidR="0040409F">
              <w:rPr>
                <w:noProof/>
                <w:webHidden/>
              </w:rPr>
              <w:instrText xml:space="preserve"> PAGEREF _Toc121204960 \h </w:instrText>
            </w:r>
            <w:r w:rsidR="0040409F">
              <w:rPr>
                <w:noProof/>
                <w:webHidden/>
              </w:rPr>
            </w:r>
            <w:r w:rsidR="0040409F">
              <w:rPr>
                <w:noProof/>
                <w:webHidden/>
              </w:rPr>
              <w:fldChar w:fldCharType="separate"/>
            </w:r>
            <w:r w:rsidR="0040409F">
              <w:rPr>
                <w:noProof/>
                <w:webHidden/>
              </w:rPr>
              <w:t>1</w:t>
            </w:r>
            <w:r w:rsidR="0040409F">
              <w:rPr>
                <w:noProof/>
                <w:webHidden/>
              </w:rPr>
              <w:fldChar w:fldCharType="end"/>
            </w:r>
          </w:hyperlink>
        </w:p>
        <w:p w14:paraId="1E9527CD" w14:textId="77777777" w:rsidR="0040409F" w:rsidRDefault="00000000">
          <w:pPr>
            <w:pStyle w:val="TOC1"/>
            <w:tabs>
              <w:tab w:val="right" w:leader="dot" w:pos="9350"/>
            </w:tabs>
            <w:rPr>
              <w:noProof/>
            </w:rPr>
          </w:pPr>
          <w:hyperlink w:anchor="_Toc121204961" w:history="1">
            <w:r w:rsidR="0040409F" w:rsidRPr="00ED4AA9">
              <w:rPr>
                <w:rStyle w:val="Hyperlink"/>
                <w:noProof/>
              </w:rPr>
              <w:t>2. Determine which host-specific factors are associated with longitudinal immune responses under repeated vaccination.</w:t>
            </w:r>
            <w:r w:rsidR="0040409F">
              <w:rPr>
                <w:noProof/>
                <w:webHidden/>
              </w:rPr>
              <w:tab/>
            </w:r>
            <w:r w:rsidR="0040409F">
              <w:rPr>
                <w:noProof/>
                <w:webHidden/>
              </w:rPr>
              <w:fldChar w:fldCharType="begin"/>
            </w:r>
            <w:r w:rsidR="0040409F">
              <w:rPr>
                <w:noProof/>
                <w:webHidden/>
              </w:rPr>
              <w:instrText xml:space="preserve"> PAGEREF _Toc121204961 \h </w:instrText>
            </w:r>
            <w:r w:rsidR="0040409F">
              <w:rPr>
                <w:noProof/>
                <w:webHidden/>
              </w:rPr>
            </w:r>
            <w:r w:rsidR="0040409F">
              <w:rPr>
                <w:noProof/>
                <w:webHidden/>
              </w:rPr>
              <w:fldChar w:fldCharType="separate"/>
            </w:r>
            <w:r w:rsidR="0040409F">
              <w:rPr>
                <w:noProof/>
                <w:webHidden/>
              </w:rPr>
              <w:t>6</w:t>
            </w:r>
            <w:r w:rsidR="0040409F">
              <w:rPr>
                <w:noProof/>
                <w:webHidden/>
              </w:rPr>
              <w:fldChar w:fldCharType="end"/>
            </w:r>
          </w:hyperlink>
        </w:p>
        <w:p w14:paraId="5B24966D" w14:textId="77777777" w:rsidR="0040409F" w:rsidRDefault="00000000">
          <w:pPr>
            <w:pStyle w:val="TOC1"/>
            <w:tabs>
              <w:tab w:val="right" w:leader="dot" w:pos="9350"/>
            </w:tabs>
            <w:rPr>
              <w:noProof/>
            </w:rPr>
          </w:pPr>
          <w:hyperlink w:anchor="_Toc121204962" w:history="1">
            <w:r w:rsidR="0040409F" w:rsidRPr="00ED4AA9">
              <w:rPr>
                <w:rStyle w:val="Hyperlink"/>
                <w:noProof/>
              </w:rPr>
              <w:t>3. Quantify differences in the effect of prevaccination immunity on vaccine response between vaccine doses and types using compiled data from the DIVERsity grant.</w:t>
            </w:r>
            <w:r w:rsidR="0040409F">
              <w:rPr>
                <w:noProof/>
                <w:webHidden/>
              </w:rPr>
              <w:tab/>
            </w:r>
            <w:r w:rsidR="0040409F">
              <w:rPr>
                <w:noProof/>
                <w:webHidden/>
              </w:rPr>
              <w:fldChar w:fldCharType="begin"/>
            </w:r>
            <w:r w:rsidR="0040409F">
              <w:rPr>
                <w:noProof/>
                <w:webHidden/>
              </w:rPr>
              <w:instrText xml:space="preserve"> PAGEREF _Toc121204962 \h </w:instrText>
            </w:r>
            <w:r w:rsidR="0040409F">
              <w:rPr>
                <w:noProof/>
                <w:webHidden/>
              </w:rPr>
            </w:r>
            <w:r w:rsidR="0040409F">
              <w:rPr>
                <w:noProof/>
                <w:webHidden/>
              </w:rPr>
              <w:fldChar w:fldCharType="separate"/>
            </w:r>
            <w:r w:rsidR="0040409F">
              <w:rPr>
                <w:noProof/>
                <w:webHidden/>
              </w:rPr>
              <w:t>9</w:t>
            </w:r>
            <w:r w:rsidR="0040409F">
              <w:rPr>
                <w:noProof/>
                <w:webHidden/>
              </w:rPr>
              <w:fldChar w:fldCharType="end"/>
            </w:r>
          </w:hyperlink>
        </w:p>
        <w:p w14:paraId="25ABB1DC" w14:textId="77777777" w:rsidR="0040409F" w:rsidRDefault="00000000">
          <w:pPr>
            <w:pStyle w:val="TOC1"/>
            <w:tabs>
              <w:tab w:val="right" w:leader="dot" w:pos="9350"/>
            </w:tabs>
            <w:rPr>
              <w:noProof/>
            </w:rPr>
          </w:pPr>
          <w:hyperlink w:anchor="_Toc121204963" w:history="1">
            <w:r w:rsidR="0040409F" w:rsidRPr="00ED4AA9">
              <w:rPr>
                <w:rStyle w:val="Hyperlink"/>
                <w:noProof/>
              </w:rPr>
              <w:t>4. Describe individual differences in antigenic landscapes.</w:t>
            </w:r>
            <w:r w:rsidR="0040409F">
              <w:rPr>
                <w:noProof/>
                <w:webHidden/>
              </w:rPr>
              <w:tab/>
            </w:r>
            <w:r w:rsidR="0040409F">
              <w:rPr>
                <w:noProof/>
                <w:webHidden/>
              </w:rPr>
              <w:fldChar w:fldCharType="begin"/>
            </w:r>
            <w:r w:rsidR="0040409F">
              <w:rPr>
                <w:noProof/>
                <w:webHidden/>
              </w:rPr>
              <w:instrText xml:space="preserve"> PAGEREF _Toc121204963 \h </w:instrText>
            </w:r>
            <w:r w:rsidR="0040409F">
              <w:rPr>
                <w:noProof/>
                <w:webHidden/>
              </w:rPr>
            </w:r>
            <w:r w:rsidR="0040409F">
              <w:rPr>
                <w:noProof/>
                <w:webHidden/>
              </w:rPr>
              <w:fldChar w:fldCharType="separate"/>
            </w:r>
            <w:r w:rsidR="0040409F">
              <w:rPr>
                <w:noProof/>
                <w:webHidden/>
              </w:rPr>
              <w:t>13</w:t>
            </w:r>
            <w:r w:rsidR="0040409F">
              <w:rPr>
                <w:noProof/>
                <w:webHidden/>
              </w:rPr>
              <w:fldChar w:fldCharType="end"/>
            </w:r>
          </w:hyperlink>
        </w:p>
        <w:p w14:paraId="46D30BBB" w14:textId="77777777" w:rsidR="0040409F" w:rsidRDefault="00000000">
          <w:pPr>
            <w:pStyle w:val="TOC1"/>
            <w:tabs>
              <w:tab w:val="right" w:leader="dot" w:pos="9350"/>
            </w:tabs>
            <w:rPr>
              <w:noProof/>
            </w:rPr>
          </w:pPr>
          <w:hyperlink w:anchor="_Toc121204964" w:history="1">
            <w:r w:rsidR="0040409F" w:rsidRPr="00ED4AA9">
              <w:rPr>
                <w:rStyle w:val="Hyperlink"/>
                <w:noProof/>
              </w:rPr>
              <w:t xml:space="preserve">5. Determine if viral characteristics other than antigenic distance are important for predicting/modeling immune response. E.g. Justin Bahl’s </w:t>
            </w:r>
            <m:oMath>
              <m:r>
                <w:rPr>
                  <w:rStyle w:val="Hyperlink"/>
                  <w:rFonts w:ascii="Cambria Math" w:hAnsi="Cambria Math"/>
                  <w:noProof/>
                </w:rPr>
                <m:t>T</m:t>
              </m:r>
              <m:r>
                <m:rPr>
                  <m:sty m:val="p"/>
                </m:rPr>
                <w:rPr>
                  <w:rStyle w:val="Hyperlink"/>
                  <w:rFonts w:ascii="Cambria Math" w:hAnsi="Cambria Math"/>
                  <w:noProof/>
                </w:rPr>
                <m:t>eff</m:t>
              </m:r>
            </m:oMath>
            <w:r w:rsidR="0040409F" w:rsidRPr="00ED4AA9">
              <w:rPr>
                <w:rStyle w:val="Hyperlink"/>
                <w:noProof/>
              </w:rPr>
              <w:t xml:space="preserve"> sequence data.</w:t>
            </w:r>
            <w:r w:rsidR="0040409F">
              <w:rPr>
                <w:noProof/>
                <w:webHidden/>
              </w:rPr>
              <w:tab/>
            </w:r>
            <w:r w:rsidR="0040409F">
              <w:rPr>
                <w:noProof/>
                <w:webHidden/>
              </w:rPr>
              <w:fldChar w:fldCharType="begin"/>
            </w:r>
            <w:r w:rsidR="0040409F">
              <w:rPr>
                <w:noProof/>
                <w:webHidden/>
              </w:rPr>
              <w:instrText xml:space="preserve"> PAGEREF _Toc121204964 \h </w:instrText>
            </w:r>
            <w:r w:rsidR="0040409F">
              <w:rPr>
                <w:noProof/>
                <w:webHidden/>
              </w:rPr>
            </w:r>
            <w:r w:rsidR="0040409F">
              <w:rPr>
                <w:noProof/>
                <w:webHidden/>
              </w:rPr>
              <w:fldChar w:fldCharType="separate"/>
            </w:r>
            <w:r w:rsidR="0040409F">
              <w:rPr>
                <w:noProof/>
                <w:webHidden/>
              </w:rPr>
              <w:t>13</w:t>
            </w:r>
            <w:r w:rsidR="0040409F">
              <w:rPr>
                <w:noProof/>
                <w:webHidden/>
              </w:rPr>
              <w:fldChar w:fldCharType="end"/>
            </w:r>
          </w:hyperlink>
        </w:p>
        <w:p w14:paraId="2975D15D" w14:textId="77777777" w:rsidR="0040409F" w:rsidRDefault="00000000">
          <w:pPr>
            <w:pStyle w:val="TOC1"/>
            <w:tabs>
              <w:tab w:val="right" w:leader="dot" w:pos="9350"/>
            </w:tabs>
            <w:rPr>
              <w:noProof/>
            </w:rPr>
          </w:pPr>
          <w:hyperlink w:anchor="_Toc121204965" w:history="1">
            <w:r w:rsidR="0040409F" w:rsidRPr="00ED4AA9">
              <w:rPr>
                <w:rStyle w:val="Hyperlink"/>
                <w:noProof/>
              </w:rPr>
              <w:t>6. Numerical summaries for antigenic landscapes</w:t>
            </w:r>
            <w:r w:rsidR="0040409F">
              <w:rPr>
                <w:noProof/>
                <w:webHidden/>
              </w:rPr>
              <w:tab/>
            </w:r>
            <w:r w:rsidR="0040409F">
              <w:rPr>
                <w:noProof/>
                <w:webHidden/>
              </w:rPr>
              <w:fldChar w:fldCharType="begin"/>
            </w:r>
            <w:r w:rsidR="0040409F">
              <w:rPr>
                <w:noProof/>
                <w:webHidden/>
              </w:rPr>
              <w:instrText xml:space="preserve"> PAGEREF _Toc121204965 \h </w:instrText>
            </w:r>
            <w:r w:rsidR="0040409F">
              <w:rPr>
                <w:noProof/>
                <w:webHidden/>
              </w:rPr>
            </w:r>
            <w:r w:rsidR="0040409F">
              <w:rPr>
                <w:noProof/>
                <w:webHidden/>
              </w:rPr>
              <w:fldChar w:fldCharType="separate"/>
            </w:r>
            <w:r w:rsidR="0040409F">
              <w:rPr>
                <w:noProof/>
                <w:webHidden/>
              </w:rPr>
              <w:t>13</w:t>
            </w:r>
            <w:r w:rsidR="0040409F">
              <w:rPr>
                <w:noProof/>
                <w:webHidden/>
              </w:rPr>
              <w:fldChar w:fldCharType="end"/>
            </w:r>
          </w:hyperlink>
        </w:p>
        <w:p w14:paraId="27ED9AC1" w14:textId="77777777" w:rsidR="0040409F" w:rsidRDefault="00000000">
          <w:pPr>
            <w:pStyle w:val="TOC1"/>
            <w:tabs>
              <w:tab w:val="right" w:leader="dot" w:pos="9350"/>
            </w:tabs>
            <w:rPr>
              <w:noProof/>
            </w:rPr>
          </w:pPr>
          <w:hyperlink w:anchor="_Toc121204966" w:history="1">
            <w:r w:rsidR="0040409F" w:rsidRPr="00ED4AA9">
              <w:rPr>
                <w:rStyle w:val="Hyperlink"/>
                <w:noProof/>
              </w:rPr>
              <w:t>7. Quantify the direct effect of immunosenesence on waning immunity.</w:t>
            </w:r>
            <w:r w:rsidR="0040409F">
              <w:rPr>
                <w:noProof/>
                <w:webHidden/>
              </w:rPr>
              <w:tab/>
            </w:r>
            <w:r w:rsidR="0040409F">
              <w:rPr>
                <w:noProof/>
                <w:webHidden/>
              </w:rPr>
              <w:fldChar w:fldCharType="begin"/>
            </w:r>
            <w:r w:rsidR="0040409F">
              <w:rPr>
                <w:noProof/>
                <w:webHidden/>
              </w:rPr>
              <w:instrText xml:space="preserve"> PAGEREF _Toc121204966 \h </w:instrText>
            </w:r>
            <w:r w:rsidR="0040409F">
              <w:rPr>
                <w:noProof/>
                <w:webHidden/>
              </w:rPr>
            </w:r>
            <w:r w:rsidR="0040409F">
              <w:rPr>
                <w:noProof/>
                <w:webHidden/>
              </w:rPr>
              <w:fldChar w:fldCharType="separate"/>
            </w:r>
            <w:r w:rsidR="0040409F">
              <w:rPr>
                <w:noProof/>
                <w:webHidden/>
              </w:rPr>
              <w:t>14</w:t>
            </w:r>
            <w:r w:rsidR="0040409F">
              <w:rPr>
                <w:noProof/>
                <w:webHidden/>
              </w:rPr>
              <w:fldChar w:fldCharType="end"/>
            </w:r>
          </w:hyperlink>
        </w:p>
        <w:p w14:paraId="615699E8" w14:textId="77777777" w:rsidR="0040409F" w:rsidRDefault="00000000">
          <w:pPr>
            <w:pStyle w:val="TOC1"/>
            <w:tabs>
              <w:tab w:val="right" w:leader="dot" w:pos="9350"/>
            </w:tabs>
            <w:rPr>
              <w:noProof/>
            </w:rPr>
          </w:pPr>
          <w:hyperlink w:anchor="_Toc121204967" w:history="1">
            <w:r w:rsidR="0040409F" w:rsidRPr="00ED4AA9">
              <w:rPr>
                <w:rStyle w:val="Hyperlink"/>
                <w:noProof/>
              </w:rPr>
              <w:t>8. References</w:t>
            </w:r>
            <w:r w:rsidR="0040409F">
              <w:rPr>
                <w:noProof/>
                <w:webHidden/>
              </w:rPr>
              <w:tab/>
            </w:r>
            <w:r w:rsidR="0040409F">
              <w:rPr>
                <w:noProof/>
                <w:webHidden/>
              </w:rPr>
              <w:fldChar w:fldCharType="begin"/>
            </w:r>
            <w:r w:rsidR="0040409F">
              <w:rPr>
                <w:noProof/>
                <w:webHidden/>
              </w:rPr>
              <w:instrText xml:space="preserve"> PAGEREF _Toc121204967 \h </w:instrText>
            </w:r>
            <w:r w:rsidR="0040409F">
              <w:rPr>
                <w:noProof/>
                <w:webHidden/>
              </w:rPr>
            </w:r>
            <w:r w:rsidR="0040409F">
              <w:rPr>
                <w:noProof/>
                <w:webHidden/>
              </w:rPr>
              <w:fldChar w:fldCharType="separate"/>
            </w:r>
            <w:r w:rsidR="0040409F">
              <w:rPr>
                <w:noProof/>
                <w:webHidden/>
              </w:rPr>
              <w:t>14</w:t>
            </w:r>
            <w:r w:rsidR="0040409F">
              <w:rPr>
                <w:noProof/>
                <w:webHidden/>
              </w:rPr>
              <w:fldChar w:fldCharType="end"/>
            </w:r>
          </w:hyperlink>
        </w:p>
        <w:p w14:paraId="525B312C" w14:textId="77777777" w:rsidR="006E5A9F" w:rsidRDefault="00000000">
          <w:r>
            <w:fldChar w:fldCharType="end"/>
          </w:r>
        </w:p>
      </w:sdtContent>
    </w:sdt>
    <w:p w14:paraId="0F7A414D" w14:textId="77777777" w:rsidR="006E5A9F" w:rsidRDefault="00000000">
      <w:pPr>
        <w:pStyle w:val="Heading1"/>
      </w:pPr>
      <w:bookmarkStart w:id="0" w:name="_Toc121204960"/>
      <w:bookmarkStart w:id="1" w:name="sec-1"/>
      <w:r>
        <w:t>1</w:t>
      </w:r>
      <w:commentRangeStart w:id="2"/>
      <w:commentRangeStart w:id="3"/>
      <w:r>
        <w:t>. Quantify the effect of preexisting immunity on heterologous humoral immune response after recieving a seasonal influenza vaccine</w:t>
      </w:r>
      <w:commentRangeEnd w:id="2"/>
      <w:r w:rsidR="004600B7">
        <w:rPr>
          <w:rStyle w:val="CommentReference"/>
          <w:rFonts w:asciiTheme="minorHAnsi" w:eastAsiaTheme="minorHAnsi" w:hAnsiTheme="minorHAnsi" w:cstheme="minorBidi"/>
          <w:b w:val="0"/>
          <w:bCs w:val="0"/>
          <w:color w:val="auto"/>
        </w:rPr>
        <w:commentReference w:id="2"/>
      </w:r>
      <w:commentRangeEnd w:id="3"/>
      <w:r w:rsidR="004600B7">
        <w:rPr>
          <w:rStyle w:val="CommentReference"/>
          <w:rFonts w:asciiTheme="minorHAnsi" w:eastAsiaTheme="minorHAnsi" w:hAnsiTheme="minorHAnsi" w:cstheme="minorBidi"/>
          <w:b w:val="0"/>
          <w:bCs w:val="0"/>
          <w:color w:val="auto"/>
        </w:rPr>
        <w:commentReference w:id="3"/>
      </w:r>
      <w:r>
        <w:t>.</w:t>
      </w:r>
      <w:bookmarkEnd w:id="0"/>
    </w:p>
    <w:p w14:paraId="6027D20E" w14:textId="77777777" w:rsidR="006E5A9F" w:rsidRDefault="00000000">
      <w:pPr>
        <w:pStyle w:val="Compact"/>
        <w:numPr>
          <w:ilvl w:val="0"/>
          <w:numId w:val="2"/>
        </w:numPr>
      </w:pPr>
      <w:r>
        <w:rPr>
          <w:b/>
          <w:bCs/>
        </w:rPr>
        <w:t>Hypothesis</w:t>
      </w:r>
      <w:r>
        <w:t>: Individuals with higher antibody titers prior to vaccination will boost less than naive individuals, but the magnitude of this difference will decrease as antigenic distance between the vaccine strain and test strain increases.</w:t>
      </w:r>
    </w:p>
    <w:p w14:paraId="72B24DEE" w14:textId="77777777" w:rsidR="006E5A9F" w:rsidRDefault="00000000">
      <w:pPr>
        <w:pStyle w:val="Compact"/>
        <w:numPr>
          <w:ilvl w:val="0"/>
          <w:numId w:val="2"/>
        </w:numPr>
      </w:pPr>
      <w:r>
        <w:rPr>
          <w:b/>
          <w:bCs/>
        </w:rPr>
        <w:lastRenderedPageBreak/>
        <w:t>Significance</w:t>
      </w:r>
      <w:r>
        <w:t>: Quantifying the patterns of immunity to heterologous strains is vital for evaluating the breadth of vaccine response.</w:t>
      </w:r>
    </w:p>
    <w:p w14:paraId="3D64A46A" w14:textId="77777777" w:rsidR="006E5A9F" w:rsidRDefault="00000000">
      <w:pPr>
        <w:pStyle w:val="Compact"/>
        <w:numPr>
          <w:ilvl w:val="0"/>
          <w:numId w:val="2"/>
        </w:numPr>
      </w:pPr>
      <w:r>
        <w:rPr>
          <w:b/>
          <w:bCs/>
        </w:rPr>
        <w:t>Innovation</w:t>
      </w:r>
      <w:r>
        <w:t>: Previous studies use simple measures of antigenic distance, such as year between strain isolation, and poor metrics of breadth (e.g. proportion of strains an individual seroconverts to, which is extremely sensitive to the panel of strains tested); or strains are treated as categorical (e.g. Yang’s dissertation), which is a flexible modeling framework but may not be extensible to other strains. Incorporating sequence-based measures of antigenic distance provides a method of modeling immune response that may be generalizable to strains which were not explicitly tested.</w:t>
      </w:r>
    </w:p>
    <w:p w14:paraId="59044136" w14:textId="77777777" w:rsidR="006E5A9F" w:rsidRDefault="00000000">
      <w:pPr>
        <w:pStyle w:val="Heading2"/>
      </w:pPr>
      <w:bookmarkStart w:id="4" w:name="sec-1a"/>
      <w:r>
        <w:t>1.1 Background</w:t>
      </w:r>
    </w:p>
    <w:p w14:paraId="13469221" w14:textId="77777777" w:rsidR="006E5A9F" w:rsidRDefault="00000000">
      <w:pPr>
        <w:pStyle w:val="FirstParagraph"/>
      </w:pPr>
      <w:r>
        <w:t>For a review of major work on the topic in the context of influenza, see (Linderman et al. 2020) and (Oidtman et al. 2021). In short, the mechanistic models used in (Zarnitsyna et al. 2015, 2016) predict that fold change in antibody titer will be negatively associated with (log) prior titer, with an “antigen ceiling,” or threshold, effect at high values of preexisting titer. That is, individuals will sufficiently high pre-vaccination titers will have rapidly diminishing returns (or even no boosting at all) from vaccination. Furthermore, the intercept of the response curve will be shifted upwards as vaccine dose increases, but the slope of the relationship will not change.</w:t>
      </w:r>
    </w:p>
    <w:p w14:paraId="1560C9D7" w14:textId="77777777" w:rsidR="006E5A9F" w:rsidRDefault="00000000">
      <w:pPr>
        <w:pStyle w:val="BodyText"/>
      </w:pPr>
      <w:r>
        <w:t>While the original paper tested the mechanistic model against some real data, the model only makes predictions for homologous responses (i.e., immune response to the strain that was used in the vaccine). However, activation of partially cross-protective memory responses to antigenically drifted influenza strains is a key component in determining the degree of protection conferred by vaccination. Notably, while protection against cross-reactive strains is generally desirable, activation of a memory response can result in the production of weakly neutralizing antibodies which provide little protection, but block the formation of novel, stronger antibody species by steric hindrance (the Zarnitsyna paper calls this mechanism “epitope masking”). Assessing the degree to which the immune response to heterologous strains follows this pattern would provide information about the breadth of the influenza immune response.</w:t>
      </w:r>
    </w:p>
    <w:p w14:paraId="3D2C0C61" w14:textId="77777777" w:rsidR="006E5A9F" w:rsidRDefault="00000000">
      <w:pPr>
        <w:pStyle w:val="BodyText"/>
      </w:pPr>
      <w:r>
        <w:t>Furthermore, based on Amanda Skarlupka’s ongoing work on the computation of antigenic distance, quantifying how the effect of preexisting immunity varies as antigenic distance between the vaccine strain and the assay strain decreases (and therefore, cross-protection decreases) would provide a flexible modeling approach that has the potential to be less dependent on the strains selected for testing. This would provide a flexible extension of Yang Ge’s ongoing multilevel modeling project which treats influenza strains as an unordered categorical variable. While determining an appropriate functional form for incorporating antigenic distance may be difficult, in this framework, models trained on strains with a wide range of antigenic distances could produce predictions for any strain based on the antigenic distance with the vaccine strain, not just strains used in training. Differences between the two models could further be studied to determine how much of the impact of viral mismatch on the immune response is determined by antigenic distance.</w:t>
      </w:r>
    </w:p>
    <w:p w14:paraId="5DE3C5D2" w14:textId="77777777" w:rsidR="006E5A9F" w:rsidRDefault="00000000">
      <w:pPr>
        <w:pStyle w:val="Heading2"/>
      </w:pPr>
      <w:bookmarkStart w:id="5" w:name="sec-1b"/>
      <w:bookmarkEnd w:id="4"/>
      <w:r>
        <w:lastRenderedPageBreak/>
        <w:t>1.2 Exploratory data analysis</w:t>
      </w:r>
    </w:p>
    <w:p w14:paraId="0628E84D" w14:textId="77777777" w:rsidR="006E5A9F" w:rsidRDefault="00000000">
      <w:pPr>
        <w:pStyle w:val="FirstParagraph"/>
      </w:pPr>
      <w:r>
        <w:t xml:space="preserve">Initially, we plotted the fold change in antibody titer vs. the pre-vaccination antibody titer for each vaccine strain / test strain combination represented in the data. Each of these plots has one data point per person-year, and does not account for repeated measurements of the same person, but provides a rough equivalent of the plots shown in (Zarnitsyna et al. 2016). </w:t>
      </w:r>
      <w:hyperlink w:anchor="fig-LMexample">
        <w:r>
          <w:rPr>
            <w:rStyle w:val="Hyperlink"/>
          </w:rPr>
          <w:t>Figure 1</w:t>
        </w:r>
      </w:hyperlink>
      <w:r>
        <w:t xml:space="preserve"> shows one of these linear models. In the homologous case (left) we see a strong negative correlation, matching the predictions made by the mechanistic model. However, for distant strains (right) we observe much weaker correlations. The plots shown only show examples for two strains.</w:t>
      </w:r>
    </w:p>
    <w:tbl>
      <w:tblPr>
        <w:tblStyle w:val="Table"/>
        <w:tblW w:w="5000" w:type="pct"/>
        <w:tblLook w:val="0000" w:firstRow="0" w:lastRow="0" w:firstColumn="0" w:lastColumn="0" w:noHBand="0" w:noVBand="0"/>
      </w:tblPr>
      <w:tblGrid>
        <w:gridCol w:w="4653"/>
        <w:gridCol w:w="269"/>
        <w:gridCol w:w="4654"/>
      </w:tblGrid>
      <w:tr w:rsidR="006E5A9F" w14:paraId="199D6EF3" w14:textId="77777777">
        <w:tc>
          <w:tcPr>
            <w:tcW w:w="0" w:type="auto"/>
          </w:tcPr>
          <w:tbl>
            <w:tblPr>
              <w:tblStyle w:val="Table"/>
              <w:tblW w:w="5000" w:type="pct"/>
              <w:tblLook w:val="0000" w:firstRow="0" w:lastRow="0" w:firstColumn="0" w:lastColumn="0" w:noHBand="0" w:noVBand="0"/>
            </w:tblPr>
            <w:tblGrid>
              <w:gridCol w:w="4437"/>
            </w:tblGrid>
            <w:tr w:rsidR="006E5A9F" w14:paraId="0A30113D" w14:textId="77777777">
              <w:tc>
                <w:tcPr>
                  <w:tcW w:w="0" w:type="auto"/>
                </w:tcPr>
                <w:p w14:paraId="6A6491BC" w14:textId="77777777" w:rsidR="006E5A9F" w:rsidRDefault="00000000">
                  <w:pPr>
                    <w:pStyle w:val="Figure"/>
                    <w:jc w:val="center"/>
                  </w:pPr>
                  <w:bookmarkStart w:id="6" w:name="fig-LMexample-1"/>
                  <w:r>
                    <w:rPr>
                      <w:noProof/>
                    </w:rPr>
                    <w:drawing>
                      <wp:inline distT="0" distB="0" distL="0" distR="0" wp14:anchorId="362F7896" wp14:editId="5631E3CA">
                        <wp:extent cx="2679192" cy="2679192"/>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01-1a.png"/>
                                <pic:cNvPicPr>
                                  <a:picLocks noChangeAspect="1" noChangeArrowheads="1"/>
                                </pic:cNvPicPr>
                              </pic:nvPicPr>
                              <pic:blipFill>
                                <a:blip r:embed="rId12"/>
                                <a:stretch>
                                  <a:fillRect/>
                                </a:stretch>
                              </pic:blipFill>
                              <pic:spPr bwMode="auto">
                                <a:xfrm>
                                  <a:off x="0" y="0"/>
                                  <a:ext cx="2679192" cy="2679192"/>
                                </a:xfrm>
                                <a:prstGeom prst="rect">
                                  <a:avLst/>
                                </a:prstGeom>
                                <a:noFill/>
                                <a:ln w="9525">
                                  <a:noFill/>
                                  <a:headEnd/>
                                  <a:tailEnd/>
                                </a:ln>
                              </pic:spPr>
                            </pic:pic>
                          </a:graphicData>
                        </a:graphic>
                      </wp:inline>
                    </w:drawing>
                  </w:r>
                </w:p>
                <w:p w14:paraId="2F37C93E" w14:textId="77777777" w:rsidR="006E5A9F" w:rsidRDefault="00000000">
                  <w:pPr>
                    <w:pStyle w:val="ImageCaption"/>
                    <w:spacing w:before="200"/>
                  </w:pPr>
                  <w:r>
                    <w:t>(a) Homologous response: the test strain is the same as the vaccine strain.</w:t>
                  </w:r>
                </w:p>
              </w:tc>
              <w:bookmarkEnd w:id="6"/>
            </w:tr>
          </w:tbl>
          <w:p w14:paraId="71121019" w14:textId="77777777" w:rsidR="006E5A9F" w:rsidRDefault="006E5A9F"/>
        </w:tc>
        <w:tc>
          <w:tcPr>
            <w:tcW w:w="0" w:type="auto"/>
          </w:tcPr>
          <w:p w14:paraId="5D007F19" w14:textId="77777777" w:rsidR="006E5A9F" w:rsidRDefault="00000000">
            <w:pPr>
              <w:jc w:val="center"/>
            </w:pPr>
            <w:r>
              <w:t> </w:t>
            </w:r>
          </w:p>
        </w:tc>
        <w:tc>
          <w:tcPr>
            <w:tcW w:w="0" w:type="auto"/>
          </w:tcPr>
          <w:tbl>
            <w:tblPr>
              <w:tblStyle w:val="Table"/>
              <w:tblW w:w="5000" w:type="pct"/>
              <w:tblLook w:val="0000" w:firstRow="0" w:lastRow="0" w:firstColumn="0" w:lastColumn="0" w:noHBand="0" w:noVBand="0"/>
            </w:tblPr>
            <w:tblGrid>
              <w:gridCol w:w="4438"/>
            </w:tblGrid>
            <w:tr w:rsidR="006E5A9F" w14:paraId="422ECE45" w14:textId="77777777">
              <w:tc>
                <w:tcPr>
                  <w:tcW w:w="0" w:type="auto"/>
                </w:tcPr>
                <w:p w14:paraId="7718D133" w14:textId="77777777" w:rsidR="006E5A9F" w:rsidRDefault="00000000">
                  <w:pPr>
                    <w:pStyle w:val="Figure"/>
                    <w:jc w:val="center"/>
                  </w:pPr>
                  <w:bookmarkStart w:id="7" w:name="fig-LMexample-2"/>
                  <w:r>
                    <w:rPr>
                      <w:noProof/>
                    </w:rPr>
                    <w:drawing>
                      <wp:inline distT="0" distB="0" distL="0" distR="0" wp14:anchorId="52FC994B" wp14:editId="3F91B514">
                        <wp:extent cx="2679192" cy="267919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gures/01-1b.png"/>
                                <pic:cNvPicPr>
                                  <a:picLocks noChangeAspect="1" noChangeArrowheads="1"/>
                                </pic:cNvPicPr>
                              </pic:nvPicPr>
                              <pic:blipFill>
                                <a:blip r:embed="rId13"/>
                                <a:stretch>
                                  <a:fillRect/>
                                </a:stretch>
                              </pic:blipFill>
                              <pic:spPr bwMode="auto">
                                <a:xfrm>
                                  <a:off x="0" y="0"/>
                                  <a:ext cx="2679192" cy="2679192"/>
                                </a:xfrm>
                                <a:prstGeom prst="rect">
                                  <a:avLst/>
                                </a:prstGeom>
                                <a:noFill/>
                                <a:ln w="9525">
                                  <a:noFill/>
                                  <a:headEnd/>
                                  <a:tailEnd/>
                                </a:ln>
                              </pic:spPr>
                            </pic:pic>
                          </a:graphicData>
                        </a:graphic>
                      </wp:inline>
                    </w:drawing>
                  </w:r>
                </w:p>
                <w:p w14:paraId="0E1E79AE" w14:textId="77777777" w:rsidR="006E5A9F" w:rsidRDefault="00000000">
                  <w:pPr>
                    <w:pStyle w:val="ImageCaption"/>
                    <w:spacing w:before="200"/>
                  </w:pPr>
                  <w:r>
                    <w:t>(b) Heterologous response: the test strain used in the HAI assay is not the same as the strain used in the vaccine.</w:t>
                  </w:r>
                </w:p>
              </w:tc>
              <w:bookmarkEnd w:id="7"/>
            </w:tr>
          </w:tbl>
          <w:p w14:paraId="18AC008A" w14:textId="77777777" w:rsidR="006E5A9F" w:rsidRDefault="006E5A9F"/>
        </w:tc>
      </w:tr>
    </w:tbl>
    <w:p w14:paraId="47B61853" w14:textId="77777777" w:rsidR="006E5A9F" w:rsidRDefault="00000000">
      <w:pPr>
        <w:pStyle w:val="ImageCaption"/>
        <w:spacing w:before="200"/>
      </w:pPr>
      <w:r>
        <w:t>Figure 1: Fold change (‘titerincrease’) vs. log pre-vaccination HAI titer (‘prevactiter’) for two test strains.</w:t>
      </w:r>
    </w:p>
    <w:p w14:paraId="2FCFFCE6" w14:textId="77777777" w:rsidR="006E5A9F" w:rsidRDefault="00000000">
      <w:pPr>
        <w:pStyle w:val="BodyText"/>
      </w:pPr>
      <w:r>
        <w:t xml:space="preserve">We then computed all of the linear models of this form, obtaining the slope for each vaccine/test strain combination. This slope coefficient represents the expected difference in fold change for a 1 log-unit increase in prevaccination antibody titer – so a negative coefficient matches the predictions of the mechanistic model. When we plot these slopes against a crude measure of antigenic distance, as shown in </w:t>
      </w:r>
      <w:hyperlink w:anchor="fig-SlopesPlot">
        <w:r>
          <w:rPr>
            <w:rStyle w:val="Hyperlink"/>
          </w:rPr>
          <w:t>Figure 2</w:t>
        </w:r>
      </w:hyperlink>
      <w:r>
        <w:t xml:space="preserve">, (the difference in isolation years of the two strains), we see a general positive trend, indicating that </w:t>
      </w:r>
      <w:r>
        <w:rPr>
          <w:b/>
          <w:bCs/>
        </w:rPr>
        <w:t>as strains become more antigenically distant, the effect of pre-existing titer diminishes</w:t>
      </w:r>
      <w:r>
        <w:t>, matching our hypothesis.</w:t>
      </w:r>
    </w:p>
    <w:tbl>
      <w:tblPr>
        <w:tblStyle w:val="Table"/>
        <w:tblW w:w="5000" w:type="pct"/>
        <w:tblLook w:val="0000" w:firstRow="0" w:lastRow="0" w:firstColumn="0" w:lastColumn="0" w:noHBand="0" w:noVBand="0"/>
      </w:tblPr>
      <w:tblGrid>
        <w:gridCol w:w="9576"/>
      </w:tblGrid>
      <w:tr w:rsidR="006E5A9F" w14:paraId="72E067C5" w14:textId="77777777">
        <w:tc>
          <w:tcPr>
            <w:tcW w:w="0" w:type="auto"/>
          </w:tcPr>
          <w:p w14:paraId="5925C7BD" w14:textId="77777777" w:rsidR="006E5A9F" w:rsidRDefault="00000000">
            <w:pPr>
              <w:pStyle w:val="Figure"/>
              <w:jc w:val="center"/>
            </w:pPr>
            <w:bookmarkStart w:id="8" w:name="fig-SlopesPlot"/>
            <w:r>
              <w:rPr>
                <w:noProof/>
              </w:rPr>
              <w:lastRenderedPageBreak/>
              <w:drawing>
                <wp:inline distT="0" distB="0" distL="0" distR="0" wp14:anchorId="53DC8A25" wp14:editId="4EAC8B07">
                  <wp:extent cx="5334000" cy="355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gures/01-2.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196C82BE" w14:textId="77777777" w:rsidR="006E5A9F" w:rsidRDefault="00000000">
            <w:pPr>
              <w:pStyle w:val="ImageCaption"/>
              <w:spacing w:before="200"/>
            </w:pPr>
            <w:r>
              <w:t>Figure 2: Estimated slopes for each combination of test strain and vaccine strain present in the data. Overall, as the calendar time between the emergence of the two strains increases, the estimate slope increases. Therefore, preexisting immunity has less of an impact on vaccine boosting for strains which are far from the vaccine in calendar time. Calendar time is only a rough approximation of antigenic similarity, but we expect better measurements to show the same general pattern.</w:t>
            </w:r>
          </w:p>
        </w:tc>
        <w:bookmarkEnd w:id="8"/>
      </w:tr>
    </w:tbl>
    <w:p w14:paraId="25F9EBFA" w14:textId="77777777" w:rsidR="006E5A9F" w:rsidRDefault="00000000">
      <w:pPr>
        <w:pStyle w:val="BodyText"/>
      </w:pPr>
      <w:r>
        <w:t>Furthermore, if we stratify by the subtype of influenza in this plot (</w:t>
      </w:r>
      <w:hyperlink w:anchor="fig-SlopesStrat">
        <w:r>
          <w:rPr>
            <w:rStyle w:val="Hyperlink"/>
          </w:rPr>
          <w:t>Figure 3</w:t>
        </w:r>
      </w:hyperlink>
      <w:r>
        <w:t>), we see different relationships for each subtype/lineage. As expected, protection from A(H3N2) influenza diminishes the quickest, which tracks with A(H3N2) strains evolving faster than the other subtypes shown.</w:t>
      </w:r>
    </w:p>
    <w:tbl>
      <w:tblPr>
        <w:tblStyle w:val="Table"/>
        <w:tblW w:w="5000" w:type="pct"/>
        <w:tblLook w:val="0000" w:firstRow="0" w:lastRow="0" w:firstColumn="0" w:lastColumn="0" w:noHBand="0" w:noVBand="0"/>
      </w:tblPr>
      <w:tblGrid>
        <w:gridCol w:w="9576"/>
      </w:tblGrid>
      <w:tr w:rsidR="006E5A9F" w14:paraId="21BA3483" w14:textId="77777777">
        <w:tc>
          <w:tcPr>
            <w:tcW w:w="0" w:type="auto"/>
          </w:tcPr>
          <w:p w14:paraId="7FDE8F96" w14:textId="77777777" w:rsidR="006E5A9F" w:rsidRDefault="00000000">
            <w:pPr>
              <w:pStyle w:val="Figure"/>
              <w:jc w:val="center"/>
            </w:pPr>
            <w:bookmarkStart w:id="9" w:name="fig-SlopesStrat"/>
            <w:r>
              <w:rPr>
                <w:noProof/>
              </w:rPr>
              <w:lastRenderedPageBreak/>
              <w:drawing>
                <wp:inline distT="0" distB="0" distL="0" distR="0" wp14:anchorId="4C5E605D" wp14:editId="5BA39AF0">
                  <wp:extent cx="5334000" cy="3556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gures/01-3.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18376F6C" w14:textId="77777777" w:rsidR="006E5A9F" w:rsidRDefault="00000000">
            <w:pPr>
              <w:pStyle w:val="ImageCaption"/>
              <w:spacing w:before="200"/>
            </w:pPr>
            <w:r>
              <w:t>Figure 3: The estimate slopes vs. difference in isolation year, but this time stratified by subtype (for influenza A strains) or lineage (for influenza B strains). Influenza A(H3N2) and B (Yamagata-like lineage) show the strongest trends. The A(H1N1) subtype shows only a moderate trend, with several outliers, which could potentially be due to the inclusion of both 2009 pandemic-like strains and pre-pandemic strains. Interestingly, B (Yamag) lineage shows the opposite trend, although the effect is weak. Notably, divergences in the B strains are quite recent and it is thought that cross-reactivity is significantly higher among influenza B strains due to the comparatively slower rate of antigenic drift.</w:t>
            </w:r>
          </w:p>
        </w:tc>
        <w:bookmarkEnd w:id="9"/>
      </w:tr>
    </w:tbl>
    <w:p w14:paraId="7F7D5ADB" w14:textId="77777777" w:rsidR="006E5A9F" w:rsidRDefault="00000000">
      <w:pPr>
        <w:pStyle w:val="Heading2"/>
      </w:pPr>
      <w:bookmarkStart w:id="10" w:name="sec-1c"/>
      <w:bookmarkEnd w:id="5"/>
      <w:r>
        <w:t>1.3 Analytical plan</w:t>
      </w:r>
    </w:p>
    <w:p w14:paraId="07137887" w14:textId="77777777" w:rsidR="006E5A9F" w:rsidRDefault="00000000">
      <w:pPr>
        <w:pStyle w:val="Compact"/>
        <w:numPr>
          <w:ilvl w:val="0"/>
          <w:numId w:val="3"/>
        </w:numPr>
      </w:pPr>
      <w:r>
        <w:t>Incorporate several measures of antigenic distance calculated by Amanda.</w:t>
      </w:r>
    </w:p>
    <w:p w14:paraId="110374FD" w14:textId="77777777" w:rsidR="006E5A9F" w:rsidRDefault="00000000">
      <w:pPr>
        <w:pStyle w:val="Compact"/>
        <w:numPr>
          <w:ilvl w:val="0"/>
          <w:numId w:val="3"/>
        </w:numPr>
      </w:pPr>
      <w:r>
        <w:t>Fit multilevel Bayesian models with the ability to control for potential confounds, to isolate the effect of antigenic distance.</w:t>
      </w:r>
    </w:p>
    <w:p w14:paraId="4CABCC40" w14:textId="77777777" w:rsidR="006E5A9F" w:rsidRDefault="00000000">
      <w:pPr>
        <w:pStyle w:val="Compact"/>
        <w:numPr>
          <w:ilvl w:val="0"/>
          <w:numId w:val="3"/>
        </w:numPr>
      </w:pPr>
      <w:r>
        <w:t>Sensitivity analysis to determine the impact of measured strains, if possible.</w:t>
      </w:r>
    </w:p>
    <w:p w14:paraId="75C791E2" w14:textId="77777777" w:rsidR="006E5A9F" w:rsidRDefault="00000000">
      <w:pPr>
        <w:pStyle w:val="Compact"/>
        <w:numPr>
          <w:ilvl w:val="0"/>
          <w:numId w:val="3"/>
        </w:numPr>
      </w:pPr>
      <w:r>
        <w:t>Post-hoc analysis of differences between antigenic distance metrics, given that all other measurements remain the same.</w:t>
      </w:r>
    </w:p>
    <w:p w14:paraId="043474C1" w14:textId="77777777" w:rsidR="006E5A9F" w:rsidRDefault="00000000">
      <w:pPr>
        <w:pStyle w:val="Compact"/>
        <w:numPr>
          <w:ilvl w:val="0"/>
          <w:numId w:val="3"/>
        </w:numPr>
      </w:pPr>
      <w:r>
        <w:t>This could potentially include modifications to Veronika’s mechanistic model to incorporate heterologous responses (or more likely a separate aim).</w:t>
      </w:r>
    </w:p>
    <w:p w14:paraId="6B6FC815" w14:textId="77777777" w:rsidR="006E5A9F" w:rsidRDefault="00000000">
      <w:pPr>
        <w:pStyle w:val="Heading2"/>
      </w:pPr>
      <w:bookmarkStart w:id="11" w:name="sec-1d"/>
      <w:bookmarkEnd w:id="10"/>
      <w:r>
        <w:t>1.4 Feasibility assessment</w:t>
      </w:r>
    </w:p>
    <w:p w14:paraId="3A5BC1C5" w14:textId="77777777" w:rsidR="006E5A9F" w:rsidRDefault="00000000">
      <w:pPr>
        <w:pStyle w:val="FirstParagraph"/>
      </w:pPr>
      <w:r>
        <w:t xml:space="preserve">Amanda has already computed the antigenic distance metrics for Ted’s cohort data. If we intend to incorporate DIVERsity data, that will entail a substantial amount of new data cleaning, but this would be common across all dissertation aims. Furthermore, if other </w:t>
      </w:r>
      <w:r>
        <w:lastRenderedPageBreak/>
        <w:t>studies use different virus panels for assessing HAI data, the antigenic distance metrics for those would need to be computed.</w:t>
      </w:r>
    </w:p>
    <w:p w14:paraId="6D256B05" w14:textId="77777777" w:rsidR="006E5A9F" w:rsidRDefault="00000000">
      <w:pPr>
        <w:pStyle w:val="BodyText"/>
      </w:pPr>
      <w:r>
        <w:t>If we want to incorporate any data other than HAI responses, there would be a significant learning curve for me. However, I feel confident in my ability to fit models to answer this question using Ted’s cohort data with Amanda’s calculated antigenic distance measurements. The last remaining question here would be the structure of the model, including what other variables should be included, and the parametric form for the inclusion of antigenic distance. If only using Ted’s HAI data would be satisfactory (as an extension or alternative to Yang’s model where strains are treated as categorical variables), I think this aim is completely feasible. My estimated time scale for a first draft (working only on this project) would be between 1 – 3 months depending on any issues with combining the antigenic distance data from Amanda with Ted’s cohort data, and resolving any remaining data cleaning issues with the data.</w:t>
      </w:r>
    </w:p>
    <w:p w14:paraId="4F879175" w14:textId="77777777" w:rsidR="006E5A9F" w:rsidRDefault="00000000">
      <w:pPr>
        <w:pStyle w:val="BodyText"/>
      </w:pPr>
      <w:r>
        <w:t>If Amanda’s project is not finished yet, this would seem to entail completing Amanda’s project first.</w:t>
      </w:r>
    </w:p>
    <w:p w14:paraId="1EE40C0C" w14:textId="77777777" w:rsidR="006E5A9F" w:rsidRDefault="00000000">
      <w:pPr>
        <w:pStyle w:val="Heading1"/>
      </w:pPr>
      <w:bookmarkStart w:id="12" w:name="_Toc121204961"/>
      <w:bookmarkStart w:id="13" w:name="sec-2"/>
      <w:bookmarkEnd w:id="1"/>
      <w:bookmarkEnd w:id="11"/>
      <w:r>
        <w:t xml:space="preserve">2. </w:t>
      </w:r>
      <w:commentRangeStart w:id="14"/>
      <w:commentRangeStart w:id="15"/>
      <w:commentRangeStart w:id="16"/>
      <w:r>
        <w:t>Determine which host-specific factors are associated with longitudinal immune responses under repeated vaccination.</w:t>
      </w:r>
      <w:bookmarkEnd w:id="12"/>
      <w:commentRangeEnd w:id="14"/>
      <w:r w:rsidR="004600B7">
        <w:rPr>
          <w:rStyle w:val="CommentReference"/>
          <w:rFonts w:asciiTheme="minorHAnsi" w:eastAsiaTheme="minorHAnsi" w:hAnsiTheme="minorHAnsi" w:cstheme="minorBidi"/>
          <w:b w:val="0"/>
          <w:bCs w:val="0"/>
          <w:color w:val="auto"/>
        </w:rPr>
        <w:commentReference w:id="14"/>
      </w:r>
      <w:commentRangeEnd w:id="15"/>
      <w:r w:rsidR="004600B7">
        <w:rPr>
          <w:rStyle w:val="CommentReference"/>
          <w:rFonts w:asciiTheme="minorHAnsi" w:eastAsiaTheme="minorHAnsi" w:hAnsiTheme="minorHAnsi" w:cstheme="minorBidi"/>
          <w:b w:val="0"/>
          <w:bCs w:val="0"/>
          <w:color w:val="auto"/>
        </w:rPr>
        <w:commentReference w:id="15"/>
      </w:r>
      <w:commentRangeEnd w:id="16"/>
      <w:r w:rsidR="004600B7">
        <w:rPr>
          <w:rStyle w:val="CommentReference"/>
          <w:rFonts w:asciiTheme="minorHAnsi" w:eastAsiaTheme="minorHAnsi" w:hAnsiTheme="minorHAnsi" w:cstheme="minorBidi"/>
          <w:b w:val="0"/>
          <w:bCs w:val="0"/>
          <w:color w:val="auto"/>
        </w:rPr>
        <w:commentReference w:id="16"/>
      </w:r>
    </w:p>
    <w:p w14:paraId="2DAEFA55" w14:textId="77777777" w:rsidR="006E5A9F" w:rsidRDefault="00000000">
      <w:pPr>
        <w:pStyle w:val="Compact"/>
        <w:numPr>
          <w:ilvl w:val="0"/>
          <w:numId w:val="4"/>
        </w:numPr>
      </w:pPr>
      <w:r>
        <w:rPr>
          <w:b/>
          <w:bCs/>
        </w:rPr>
        <w:t>Hypothesis:</w:t>
      </w:r>
      <w:r>
        <w:t xml:space="preserve"> Individual host factors (e.g. age) and characteristics of vaccine strains and circulating virus strains influence patterns of boosting and waning observed in longitudinal immune response trajectories under repeated vaccination.</w:t>
      </w:r>
    </w:p>
    <w:p w14:paraId="2CC65DC8" w14:textId="77777777" w:rsidR="006E5A9F" w:rsidRDefault="00000000">
      <w:pPr>
        <w:pStyle w:val="Compact"/>
        <w:numPr>
          <w:ilvl w:val="0"/>
          <w:numId w:val="4"/>
        </w:numPr>
      </w:pPr>
      <w:r>
        <w:rPr>
          <w:b/>
          <w:bCs/>
        </w:rPr>
        <w:t>Significance:</w:t>
      </w:r>
      <w:r>
        <w:t xml:space="preserve"> Understanding when individuals boost and wane to influenza vaccination can allow for developments in targeted healthcare which promote better vaccine effectiveness. For example, the development of targeted vaccine schedules and dosing regimens could be improved by understanding which individuals are likely to boost and wane in a given season.</w:t>
      </w:r>
    </w:p>
    <w:p w14:paraId="51087F65" w14:textId="77777777" w:rsidR="006E5A9F" w:rsidRDefault="00000000">
      <w:pPr>
        <w:pStyle w:val="Compact"/>
        <w:numPr>
          <w:ilvl w:val="0"/>
          <w:numId w:val="4"/>
        </w:numPr>
      </w:pPr>
      <w:r>
        <w:rPr>
          <w:b/>
          <w:bCs/>
        </w:rPr>
        <w:t>Innovation:</w:t>
      </w:r>
      <w:r>
        <w:t xml:space="preserve"> Most studies of vaccine effectiveness for influenza do not incorporate longitudinal response data into their conclusions, instead relying on cross-sectional or case-control designs. Even among studies that incorporate longitudinal data, qualitative patterns of immune response are rarely considered. We propose a novel framework of considering boosting and waning phases of trajectories separately to determine which individuals boost to which strains in a given influenza season.</w:t>
      </w:r>
    </w:p>
    <w:p w14:paraId="4E0C394E" w14:textId="77777777" w:rsidR="006E5A9F" w:rsidRDefault="00000000">
      <w:pPr>
        <w:pStyle w:val="Heading2"/>
      </w:pPr>
      <w:bookmarkStart w:id="17" w:name="sec-2a"/>
      <w:r>
        <w:t>2.1 Background</w:t>
      </w:r>
    </w:p>
    <w:p w14:paraId="45FF4997" w14:textId="77777777" w:rsidR="006E5A9F" w:rsidRDefault="00000000">
      <w:pPr>
        <w:pStyle w:val="FirstParagraph"/>
      </w:pPr>
      <w:r>
        <w:t>We know that many host factors (age, birth year, arguable race and sex) contribute to an individual’s observed immune response following vaccination. In my actual proposal I will describe this better. For now, see, .e.g. (Dhakal and Klein 2019).</w:t>
      </w:r>
    </w:p>
    <w:p w14:paraId="6DB7010A" w14:textId="77777777" w:rsidR="006E5A9F" w:rsidRDefault="00000000">
      <w:pPr>
        <w:pStyle w:val="BodyText"/>
      </w:pPr>
      <w:r>
        <w:t xml:space="preserve">In addition to understanding how host factors shape the immune response at specific moments in time (either using a cross-sectional analysis, or a regression analysis which correctly deals with repeated measurements), we are interested in how host factors shape trajectories of immune responses. Two of the major concerns with seasonal influenza </w:t>
      </w:r>
      <w:r>
        <w:lastRenderedPageBreak/>
        <w:t>vaccines are (1) whether a recipient boosts to the vaccine initially; and (2) the degree and time course of antibody waning following the immune response to the vaccine.</w:t>
      </w:r>
    </w:p>
    <w:p w14:paraId="20AFDF03" w14:textId="77777777" w:rsidR="006E5A9F" w:rsidRDefault="00000000">
      <w:pPr>
        <w:pStyle w:val="Heading2"/>
      </w:pPr>
      <w:bookmarkStart w:id="18" w:name="sec-2b"/>
      <w:bookmarkEnd w:id="17"/>
      <w:r>
        <w:t>2.2 Exploratory Data Analysis</w:t>
      </w:r>
    </w:p>
    <w:p w14:paraId="160B2BAB" w14:textId="77777777" w:rsidR="006E5A9F" w:rsidRDefault="00000000">
      <w:pPr>
        <w:pStyle w:val="FirstParagraph"/>
      </w:pPr>
      <w:r>
        <w:t xml:space="preserve">First, we decided to explore clusters of interest using the complete trajectories of individuals who were enrolled in the study for several consecutive years. </w:t>
      </w:r>
      <w:hyperlink w:anchor="fig-TrajClustFull">
        <w:r>
          <w:rPr>
            <w:rStyle w:val="Hyperlink"/>
          </w:rPr>
          <w:t>Figure 4</w:t>
        </w:r>
      </w:hyperlink>
      <w:r>
        <w:t xml:space="preserve"> shows the clusters we manually identified and how many of the individuals fell into each cluster. Understand the dynamics of the clusters can provide information on how effective the seasonal vaccine was at inducing an immune response (to a given strain) over time. We plan to explore additional clusters of interest, such as more fine-grained clusters analyzing who responded to the vaccine and when.</w:t>
      </w:r>
    </w:p>
    <w:tbl>
      <w:tblPr>
        <w:tblStyle w:val="Table"/>
        <w:tblW w:w="5000" w:type="pct"/>
        <w:tblLook w:val="0000" w:firstRow="0" w:lastRow="0" w:firstColumn="0" w:lastColumn="0" w:noHBand="0" w:noVBand="0"/>
      </w:tblPr>
      <w:tblGrid>
        <w:gridCol w:w="9576"/>
      </w:tblGrid>
      <w:tr w:rsidR="006E5A9F" w14:paraId="67BA191C" w14:textId="77777777">
        <w:tc>
          <w:tcPr>
            <w:tcW w:w="0" w:type="auto"/>
          </w:tcPr>
          <w:p w14:paraId="4596EDBA" w14:textId="77777777" w:rsidR="006E5A9F" w:rsidRDefault="00000000">
            <w:pPr>
              <w:pStyle w:val="Figure"/>
              <w:jc w:val="center"/>
            </w:pPr>
            <w:bookmarkStart w:id="19" w:name="fig-TrajClustFull"/>
            <w:r>
              <w:rPr>
                <w:noProof/>
              </w:rPr>
              <w:drawing>
                <wp:inline distT="0" distB="0" distL="0" distR="0" wp14:anchorId="2E7BCA25" wp14:editId="5E06C8ED">
                  <wp:extent cx="5334000" cy="249489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gures/02-1.png"/>
                          <pic:cNvPicPr>
                            <a:picLocks noChangeAspect="1" noChangeArrowheads="1"/>
                          </pic:cNvPicPr>
                        </pic:nvPicPr>
                        <pic:blipFill>
                          <a:blip r:embed="rId16"/>
                          <a:stretch>
                            <a:fillRect/>
                          </a:stretch>
                        </pic:blipFill>
                        <pic:spPr bwMode="auto">
                          <a:xfrm>
                            <a:off x="0" y="0"/>
                            <a:ext cx="5334000" cy="2494897"/>
                          </a:xfrm>
                          <a:prstGeom prst="rect">
                            <a:avLst/>
                          </a:prstGeom>
                          <a:noFill/>
                          <a:ln w="9525">
                            <a:noFill/>
                            <a:headEnd/>
                            <a:tailEnd/>
                          </a:ln>
                        </pic:spPr>
                      </pic:pic>
                    </a:graphicData>
                  </a:graphic>
                </wp:inline>
              </w:drawing>
            </w:r>
          </w:p>
          <w:p w14:paraId="4A2AD1A9" w14:textId="77777777" w:rsidR="006E5A9F" w:rsidRDefault="00000000">
            <w:pPr>
              <w:pStyle w:val="ImageCaption"/>
              <w:spacing w:before="200"/>
            </w:pPr>
            <w:r>
              <w:t>Figure 4: Clusters of trajectories. Each trajectory shows an individual’s HAI titer to H1N1-California-2009 influenza over the course of the study. The time scale here was manually registered so that trajectories of all individuals align, but we will consider unregistered trajectories as well during the analysis of this aim. We defined categories of qualitative interest to visualize individual patterns of immune response.</w:t>
            </w:r>
          </w:p>
        </w:tc>
        <w:bookmarkEnd w:id="19"/>
      </w:tr>
    </w:tbl>
    <w:p w14:paraId="69622368" w14:textId="77777777" w:rsidR="006E5A9F" w:rsidRDefault="00000000">
      <w:pPr>
        <w:pStyle w:val="BodyText"/>
      </w:pPr>
      <w:r>
        <w:t xml:space="preserve">Second, we decided to break the trajectories into seasonal components consisting of a Day 0 (vaccine time) measurement, a Day 21/28 (post-vaccination) measurement, and a Day 365 measurement (time of vaccination for the next year). This allowed us to consider all individuals who had been enrolled in the study for only two consecutive years, and allows us to analyze patterns of boosting and waning across the study sample. </w:t>
      </w:r>
      <w:hyperlink w:anchor="fig-TrajClustTwo">
        <w:r>
          <w:rPr>
            <w:rStyle w:val="Hyperlink"/>
          </w:rPr>
          <w:t>Figure 5</w:t>
        </w:r>
      </w:hyperlink>
      <w:r>
        <w:t xml:space="preserve"> shows examples trajectories of this analyses, clustered into patterns of boosting and waning.</w:t>
      </w:r>
    </w:p>
    <w:tbl>
      <w:tblPr>
        <w:tblStyle w:val="Table"/>
        <w:tblW w:w="5000" w:type="pct"/>
        <w:tblLook w:val="0000" w:firstRow="0" w:lastRow="0" w:firstColumn="0" w:lastColumn="0" w:noHBand="0" w:noVBand="0"/>
      </w:tblPr>
      <w:tblGrid>
        <w:gridCol w:w="9576"/>
      </w:tblGrid>
      <w:tr w:rsidR="006E5A9F" w14:paraId="51E53F39" w14:textId="77777777">
        <w:tc>
          <w:tcPr>
            <w:tcW w:w="0" w:type="auto"/>
          </w:tcPr>
          <w:p w14:paraId="74F53D9F" w14:textId="77777777" w:rsidR="006E5A9F" w:rsidRDefault="00000000">
            <w:pPr>
              <w:pStyle w:val="Figure"/>
              <w:jc w:val="center"/>
            </w:pPr>
            <w:bookmarkStart w:id="20" w:name="fig-TrajClustTwo"/>
            <w:r>
              <w:rPr>
                <w:noProof/>
              </w:rPr>
              <w:lastRenderedPageBreak/>
              <w:drawing>
                <wp:inline distT="0" distB="0" distL="0" distR="0" wp14:anchorId="455723FC" wp14:editId="3B0C4600">
                  <wp:extent cx="5334000" cy="48006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gures/02-2.png"/>
                          <pic:cNvPicPr>
                            <a:picLocks noChangeAspect="1" noChangeArrowheads="1"/>
                          </pic:cNvPicPr>
                        </pic:nvPicPr>
                        <pic:blipFill>
                          <a:blip r:embed="rId17"/>
                          <a:stretch>
                            <a:fillRect/>
                          </a:stretch>
                        </pic:blipFill>
                        <pic:spPr bwMode="auto">
                          <a:xfrm>
                            <a:off x="0" y="0"/>
                            <a:ext cx="5334000" cy="4800600"/>
                          </a:xfrm>
                          <a:prstGeom prst="rect">
                            <a:avLst/>
                          </a:prstGeom>
                          <a:noFill/>
                          <a:ln w="9525">
                            <a:noFill/>
                            <a:headEnd/>
                            <a:tailEnd/>
                          </a:ln>
                        </pic:spPr>
                      </pic:pic>
                    </a:graphicData>
                  </a:graphic>
                </wp:inline>
              </w:drawing>
            </w:r>
          </w:p>
          <w:p w14:paraId="7F49EBBA" w14:textId="77777777" w:rsidR="006E5A9F" w:rsidRDefault="00000000">
            <w:pPr>
              <w:pStyle w:val="ImageCaption"/>
              <w:spacing w:before="200"/>
            </w:pPr>
            <w:r>
              <w:t>Figure 5: The seasonal trajectories: each trajectory represents a Day 0 measurement at time of vaccination, a post-vaccination measurement, and a Day 365 measurement, which was actually a serum draw from the following influenza season. Using these trajectories of three points allows us to visualize patterns of boosting and waning, as shown here.</w:t>
            </w:r>
          </w:p>
        </w:tc>
        <w:bookmarkEnd w:id="20"/>
      </w:tr>
    </w:tbl>
    <w:p w14:paraId="62B742E6" w14:textId="77777777" w:rsidR="006E5A9F" w:rsidRDefault="00000000">
      <w:pPr>
        <w:pStyle w:val="Heading2"/>
      </w:pPr>
      <w:bookmarkStart w:id="21" w:name="sec-2c"/>
      <w:bookmarkEnd w:id="18"/>
      <w:r>
        <w:t>2.3 Analytical plan</w:t>
      </w:r>
    </w:p>
    <w:p w14:paraId="2B8E5F8D" w14:textId="77777777" w:rsidR="006E5A9F" w:rsidRDefault="00000000">
      <w:pPr>
        <w:pStyle w:val="Compact"/>
        <w:numPr>
          <w:ilvl w:val="0"/>
          <w:numId w:val="5"/>
        </w:numPr>
      </w:pPr>
      <w:r>
        <w:t>We expect the results of this aim to be largely qualitative, but results will be quantified where it makes sense to do so.</w:t>
      </w:r>
    </w:p>
    <w:p w14:paraId="0FF47094" w14:textId="77777777" w:rsidR="006E5A9F" w:rsidRDefault="00000000">
      <w:pPr>
        <w:pStyle w:val="Compact"/>
        <w:numPr>
          <w:ilvl w:val="0"/>
          <w:numId w:val="5"/>
        </w:numPr>
      </w:pPr>
      <w:r>
        <w:t>First, we plan to identify qualitative clusters of whole trajectories (similarly to what was shown previously).</w:t>
      </w:r>
    </w:p>
    <w:p w14:paraId="2F8F94C4" w14:textId="77777777" w:rsidR="006E5A9F" w:rsidRDefault="00000000">
      <w:pPr>
        <w:pStyle w:val="Compact"/>
        <w:numPr>
          <w:ilvl w:val="1"/>
          <w:numId w:val="6"/>
        </w:numPr>
      </w:pPr>
      <w:r>
        <w:t>For example, we could identify individuals who responded to the vaccine every year as opposed to those who only responded in the first year of the cohort study.</w:t>
      </w:r>
    </w:p>
    <w:p w14:paraId="324AE31E" w14:textId="77777777" w:rsidR="006E5A9F" w:rsidRDefault="00000000">
      <w:pPr>
        <w:pStyle w:val="Compact"/>
        <w:numPr>
          <w:ilvl w:val="1"/>
          <w:numId w:val="6"/>
        </w:numPr>
      </w:pPr>
      <w:r>
        <w:t>We would then examine host factor distributions in each of the clusters (such as age, comorbidities, sex, race, imprinting probabilities, and history of vaccination) to determine if there are any noticeable patterns within the cluster.</w:t>
      </w:r>
    </w:p>
    <w:p w14:paraId="7DF7CD69" w14:textId="77777777" w:rsidR="006E5A9F" w:rsidRDefault="00000000">
      <w:pPr>
        <w:pStyle w:val="Compact"/>
        <w:numPr>
          <w:ilvl w:val="0"/>
          <w:numId w:val="5"/>
        </w:numPr>
      </w:pPr>
      <w:r>
        <w:lastRenderedPageBreak/>
        <w:t>Secondly, we plan to identify isolated patterns of waning and boosting. Using this framework, we can mitigate the issue of antigenic drift and changing vaccine components, as there would be one trajectory per person per season per assay strain.</w:t>
      </w:r>
    </w:p>
    <w:p w14:paraId="26903B58" w14:textId="77777777" w:rsidR="006E5A9F" w:rsidRDefault="00000000">
      <w:pPr>
        <w:pStyle w:val="Compact"/>
        <w:numPr>
          <w:ilvl w:val="0"/>
          <w:numId w:val="5"/>
        </w:numPr>
      </w:pPr>
      <w:r>
        <w:t>Finally, we could also consider automatic detection of trajectory clusters using statistical models, to determine if there are any clusters of scientific interest that can be identified in this manner.</w:t>
      </w:r>
    </w:p>
    <w:p w14:paraId="06415EBD" w14:textId="77777777" w:rsidR="006E5A9F" w:rsidRDefault="00000000">
      <w:pPr>
        <w:pStyle w:val="Heading2"/>
      </w:pPr>
      <w:bookmarkStart w:id="22" w:name="sec-2d"/>
      <w:bookmarkEnd w:id="21"/>
      <w:r>
        <w:t>2.4 Aim Feasibility</w:t>
      </w:r>
    </w:p>
    <w:p w14:paraId="14DC1BE1" w14:textId="77777777" w:rsidR="006E5A9F" w:rsidRDefault="00000000">
      <w:pPr>
        <w:pStyle w:val="FirstParagraph"/>
      </w:pPr>
      <w:r>
        <w:t>We already have all of the data we need for this aim, and we seem to have already developed the main two analytic approaches we will use. As the resulting paper will be primarily descriptive rather than quantitative, we likely have a substantial portion of the conceptual framework completed. Most of the work will focus on finding interesting patterns and refining our analytic approach and narrative.</w:t>
      </w:r>
    </w:p>
    <w:p w14:paraId="5B264873" w14:textId="77777777" w:rsidR="006E5A9F" w:rsidRDefault="00000000">
      <w:pPr>
        <w:pStyle w:val="BodyText"/>
      </w:pPr>
      <w:r>
        <w:t>I do not have a time estimate for this project, but it could be completely simultaneously with other projects while I am waiting on things that are outside of my control (draft revisions, computer time, other people doing things that I need, etc). Overall I think this aim is feasible but I have no idea how long it will take.</w:t>
      </w:r>
    </w:p>
    <w:p w14:paraId="66B64914" w14:textId="77777777" w:rsidR="006E5A9F" w:rsidRDefault="00000000">
      <w:pPr>
        <w:pStyle w:val="BodyText"/>
      </w:pPr>
      <w:r>
        <w:t>This aim would be mainly descriptive, whether than quantitative. Comparing these patterns quantitatively on observational data which were not designed for these analyses would be difficult.</w:t>
      </w:r>
    </w:p>
    <w:p w14:paraId="7A1E7448" w14:textId="77777777" w:rsidR="006E5A9F" w:rsidRDefault="00000000">
      <w:pPr>
        <w:pStyle w:val="Heading1"/>
      </w:pPr>
      <w:bookmarkStart w:id="23" w:name="_Toc121204962"/>
      <w:bookmarkStart w:id="24" w:name="sec-3"/>
      <w:bookmarkEnd w:id="13"/>
      <w:bookmarkEnd w:id="22"/>
      <w:r>
        <w:t xml:space="preserve">3. </w:t>
      </w:r>
      <w:commentRangeStart w:id="25"/>
      <w:commentRangeStart w:id="26"/>
      <w:commentRangeStart w:id="27"/>
      <w:r>
        <w:t xml:space="preserve">Quantify differences in the effect of prevaccination immunity on vaccine response between vaccine doses and types using compiled data from the </w:t>
      </w:r>
      <w:proofErr w:type="spellStart"/>
      <w:r>
        <w:t>DIVERsity</w:t>
      </w:r>
      <w:proofErr w:type="spellEnd"/>
      <w:r>
        <w:t xml:space="preserve"> grant.</w:t>
      </w:r>
      <w:bookmarkEnd w:id="23"/>
      <w:commentRangeEnd w:id="25"/>
      <w:r w:rsidR="004600B7">
        <w:rPr>
          <w:rStyle w:val="CommentReference"/>
          <w:rFonts w:asciiTheme="minorHAnsi" w:eastAsiaTheme="minorHAnsi" w:hAnsiTheme="minorHAnsi" w:cstheme="minorBidi"/>
          <w:b w:val="0"/>
          <w:bCs w:val="0"/>
          <w:color w:val="auto"/>
        </w:rPr>
        <w:commentReference w:id="25"/>
      </w:r>
      <w:commentRangeEnd w:id="26"/>
      <w:r w:rsidR="004600B7">
        <w:rPr>
          <w:rStyle w:val="CommentReference"/>
          <w:rFonts w:asciiTheme="minorHAnsi" w:eastAsiaTheme="minorHAnsi" w:hAnsiTheme="minorHAnsi" w:cstheme="minorBidi"/>
          <w:b w:val="0"/>
          <w:bCs w:val="0"/>
          <w:color w:val="auto"/>
        </w:rPr>
        <w:commentReference w:id="26"/>
      </w:r>
      <w:commentRangeEnd w:id="27"/>
      <w:r w:rsidR="004600B7">
        <w:rPr>
          <w:rStyle w:val="CommentReference"/>
          <w:rFonts w:asciiTheme="minorHAnsi" w:eastAsiaTheme="minorHAnsi" w:hAnsiTheme="minorHAnsi" w:cstheme="minorBidi"/>
          <w:b w:val="0"/>
          <w:bCs w:val="0"/>
          <w:color w:val="auto"/>
        </w:rPr>
        <w:commentReference w:id="27"/>
      </w:r>
    </w:p>
    <w:p w14:paraId="7D5FDD32" w14:textId="77777777" w:rsidR="006E5A9F" w:rsidRDefault="00000000">
      <w:pPr>
        <w:pStyle w:val="Compact"/>
        <w:numPr>
          <w:ilvl w:val="0"/>
          <w:numId w:val="7"/>
        </w:numPr>
      </w:pPr>
      <w:r>
        <w:rPr>
          <w:b/>
          <w:bCs/>
        </w:rPr>
        <w:t>Hypothesis</w:t>
      </w:r>
      <w:r>
        <w:t>: the mechanistic models proposed by Zarnitsyna et al. (2016) are accurate for some patterns, but may need to be modified to account for vaccine dose and type more effectively.</w:t>
      </w:r>
    </w:p>
    <w:p w14:paraId="61B5CEDC" w14:textId="77777777" w:rsidR="006E5A9F" w:rsidRDefault="00000000">
      <w:pPr>
        <w:pStyle w:val="Compact"/>
        <w:numPr>
          <w:ilvl w:val="0"/>
          <w:numId w:val="7"/>
        </w:numPr>
      </w:pPr>
      <w:r>
        <w:rPr>
          <w:b/>
          <w:bCs/>
        </w:rPr>
        <w:t>Significance</w:t>
      </w:r>
      <w:r>
        <w:t>: heterologous prevaccination immunity is likely the single biggest challenge for seasonal influenza vaccine design. Increased vaccine dose and certain vaccine types are more likely to overcome the “antigenic ceiling” effect and avoid being out-competed by the memory B-cell response. Understanding the effect of vaccine dose and type in this context can provide critical information for vaccine design.</w:t>
      </w:r>
    </w:p>
    <w:p w14:paraId="16CDA5F7" w14:textId="77777777" w:rsidR="006E5A9F" w:rsidRDefault="00000000">
      <w:pPr>
        <w:pStyle w:val="Compact"/>
        <w:numPr>
          <w:ilvl w:val="0"/>
          <w:numId w:val="7"/>
        </w:numPr>
      </w:pPr>
      <w:r>
        <w:rPr>
          <w:b/>
          <w:bCs/>
        </w:rPr>
        <w:t>Innovation</w:t>
      </w:r>
      <w:r>
        <w:t>: most studies of prior immunity to influenza consider only homologous immunity, and often only control for prior immunity without any further considerations. Furthermore, multiple doses and vaccine types are often not considered in the same framework. Our proposal is explore the direct effect of prior (heterologous) immunity on response to multiple vaccine doses and types.</w:t>
      </w:r>
    </w:p>
    <w:p w14:paraId="6A64B89D" w14:textId="77777777" w:rsidR="006E5A9F" w:rsidRDefault="00000000">
      <w:pPr>
        <w:pStyle w:val="Heading2"/>
      </w:pPr>
      <w:bookmarkStart w:id="28" w:name="sec-3a"/>
      <w:r>
        <w:lastRenderedPageBreak/>
        <w:t>3.1 Background</w:t>
      </w:r>
    </w:p>
    <w:p w14:paraId="350B4E9B" w14:textId="77777777" w:rsidR="006E5A9F" w:rsidRDefault="00000000">
      <w:pPr>
        <w:pStyle w:val="FirstParagraph"/>
      </w:pPr>
      <w:r>
        <w:rPr>
          <w:b/>
          <w:bCs/>
        </w:rPr>
        <w:t>This project is a proposed extension of the exploratory analysis I conducted during Year 1 / Fall Year 2 of my program.</w:t>
      </w:r>
      <w:r>
        <w:t xml:space="preserve"> Based on the predictions made by Veronika’s models, we expect to see a linear decrease (on a log-log scale) between increase in antigen levels after vaccination and pre-vaccination antibody levels. Furthermore, Veronika’s models demonstrate an “antigenic ceiling” effect, which has also been described by some of the Cobey group’s work (will need to cite this). That is, if pre-existing antibody level is high enough, there are dramatically (non-linear) diminished returns for vaccination. We aim to see where Veronika’s models make predictions that are supported by the data, and any systematic differences where they do not.</w:t>
      </w:r>
    </w:p>
    <w:p w14:paraId="0DD3558C" w14:textId="77777777" w:rsidR="006E5A9F" w:rsidRDefault="00000000">
      <w:pPr>
        <w:pStyle w:val="BodyText"/>
      </w:pPr>
      <w:r>
        <w:t xml:space="preserve">We would explore the effect of prior immunity to multiple strains of influenza, incorporating antigenic distance if possible (but this is not necessary to complete the project, and could provide further work after this project is done). We would determine where the effect of prior immunity on vaccination is similar to what is predict by (Zarnitsyna et al. 2016), and importantly, </w:t>
      </w:r>
      <w:r>
        <w:rPr>
          <w:i/>
          <w:iCs/>
        </w:rPr>
        <w:t>where</w:t>
      </w:r>
      <w:r>
        <w:t xml:space="preserve"> the results differ. Any systematic patterns will be quantified.</w:t>
      </w:r>
    </w:p>
    <w:p w14:paraId="7F85890A" w14:textId="77777777" w:rsidR="006E5A9F" w:rsidRDefault="00000000">
      <w:pPr>
        <w:pStyle w:val="BodyText"/>
      </w:pPr>
      <w:r>
        <w:t>We also plan to use sound epidemiological methods to control for host factors. For example, if there is a true effect of sex on vaccination, we would expect the lines described to be different between males and females in the study data. We can adjust for factors such as age, sex, and race.</w:t>
      </w:r>
    </w:p>
    <w:p w14:paraId="40E732C7" w14:textId="77777777" w:rsidR="006E5A9F" w:rsidRDefault="00000000">
      <w:pPr>
        <w:pStyle w:val="BodyText"/>
      </w:pPr>
      <w:r>
        <w:t>We expect that different vaccine types might behave differently, especially with respect to vaccine dose. Therefore, we aim to inspect the effect of dose quantitatively (as a numeric variable), by analyzing several vaccines with different doses across multiple study sites. This would include the analysis of effect modification by the vaccine type. The mechanistic model predicts that increased dose would increase the magnitude of the slope between increase in antibody level and pre-existing titer, as well as modulate the antigenic ceiling effect by increasing the threshold at which diminishing returns are incurred.</w:t>
      </w:r>
    </w:p>
    <w:p w14:paraId="0093D6BC" w14:textId="77777777" w:rsidR="006E5A9F" w:rsidRDefault="00000000">
      <w:pPr>
        <w:pStyle w:val="Heading2"/>
      </w:pPr>
      <w:bookmarkStart w:id="29" w:name="sec-3b"/>
      <w:bookmarkEnd w:id="28"/>
      <w:r>
        <w:t>3.2 Exploratory data analysis</w:t>
      </w:r>
    </w:p>
    <w:p w14:paraId="42A1A6FD" w14:textId="77777777" w:rsidR="006E5A9F" w:rsidRDefault="00000000">
      <w:pPr>
        <w:pStyle w:val="FirstParagraph"/>
      </w:pPr>
      <w:r>
        <w:t xml:space="preserve">See </w:t>
      </w:r>
      <w:hyperlink w:anchor="fig-LMexample-2">
        <w:r>
          <w:rPr>
            <w:rStyle w:val="Hyperlink"/>
          </w:rPr>
          <w:t>Figure 1 (b)</w:t>
        </w:r>
      </w:hyperlink>
      <w:r>
        <w:t xml:space="preserve"> for an example of the most basic linear models </w:t>
      </w:r>
      <w:r>
        <w:rPr>
          <w:i/>
          <w:iCs/>
        </w:rPr>
        <w:t>for homologous strains</w:t>
      </w:r>
      <w:r>
        <w:t xml:space="preserve"> under this framework. Here, the intercept of the line estimates the expected vaccine boost for a completely naive participant, and the slope estimates the expected decrease in boosting for each log-unit of pre-existing immunity. For this project, we would quantify all of the homologous slopes for vaccine strains in our data, controlling for confounders, as well as longitudinal responses where necessary (e.g. H1N1-California-2009 was a component of the seasonal influenza vaccine for several consecutive years, and thus the data in </w:t>
      </w:r>
      <w:hyperlink w:anchor="fig-LMexample-2">
        <w:r>
          <w:rPr>
            <w:rStyle w:val="Hyperlink"/>
          </w:rPr>
          <w:t>Figure 1 (b)</w:t>
        </w:r>
      </w:hyperlink>
      <w:r>
        <w:t xml:space="preserve"> include multiple observations from the same subject).</w:t>
      </w:r>
    </w:p>
    <w:p w14:paraId="4E9016B2" w14:textId="77777777" w:rsidR="006E5A9F" w:rsidRDefault="00000000">
      <w:pPr>
        <w:pStyle w:val="BodyText"/>
      </w:pPr>
      <w:r>
        <w:t xml:space="preserve">We would determine the effect of dose by including the effect of dose in the model. In </w:t>
      </w:r>
      <w:hyperlink w:anchor="fig-LMdose-1">
        <w:r>
          <w:rPr>
            <w:rStyle w:val="Hyperlink"/>
          </w:rPr>
          <w:t>Figure 6 (a)</w:t>
        </w:r>
      </w:hyperlink>
      <w:r>
        <w:t xml:space="preserve">, we show the same data as in </w:t>
      </w:r>
      <w:hyperlink w:anchor="fig-LMexample-2">
        <w:r>
          <w:rPr>
            <w:rStyle w:val="Hyperlink"/>
          </w:rPr>
          <w:t>Figure 1 (b)</w:t>
        </w:r>
      </w:hyperlink>
      <w:r>
        <w:t xml:space="preserve">, but stratified by vaccine dose (note that only participants over 65 were allowed to choose the high dose vaccine). </w:t>
      </w:r>
      <w:hyperlink w:anchor="fig-LMdose-2">
        <w:r>
          <w:rPr>
            <w:rStyle w:val="Hyperlink"/>
          </w:rPr>
          <w:t>Figure 6 (b)</w:t>
        </w:r>
      </w:hyperlink>
      <w:r>
        <w:t xml:space="preserve"> shows a different strain from the same cohort study (and as such includes some, but not all, of the same participants). Particularly, </w:t>
      </w:r>
      <w:hyperlink w:anchor="fig-LMdose-1">
        <w:r>
          <w:rPr>
            <w:rStyle w:val="Hyperlink"/>
          </w:rPr>
          <w:t>Figure 6 (a)</w:t>
        </w:r>
      </w:hyperlink>
      <w:r>
        <w:t xml:space="preserve"> shows a result that contrasts with the </w:t>
      </w:r>
      <w:r>
        <w:lastRenderedPageBreak/>
        <w:t xml:space="preserve">mechanistic model, while </w:t>
      </w:r>
      <w:hyperlink w:anchor="fig-LMdose-2">
        <w:r>
          <w:rPr>
            <w:rStyle w:val="Hyperlink"/>
          </w:rPr>
          <w:t>Figure 6 (b)</w:t>
        </w:r>
      </w:hyperlink>
      <w:r>
        <w:t xml:space="preserve"> shows results that are similar to the mechanistic model predictions.</w:t>
      </w:r>
    </w:p>
    <w:tbl>
      <w:tblPr>
        <w:tblStyle w:val="Table"/>
        <w:tblW w:w="5000" w:type="pct"/>
        <w:tblLook w:val="0000" w:firstRow="0" w:lastRow="0" w:firstColumn="0" w:lastColumn="0" w:noHBand="0" w:noVBand="0"/>
      </w:tblPr>
      <w:tblGrid>
        <w:gridCol w:w="4653"/>
        <w:gridCol w:w="269"/>
        <w:gridCol w:w="4654"/>
      </w:tblGrid>
      <w:tr w:rsidR="006E5A9F" w14:paraId="22C9E8E8" w14:textId="77777777">
        <w:tc>
          <w:tcPr>
            <w:tcW w:w="0" w:type="auto"/>
          </w:tcPr>
          <w:tbl>
            <w:tblPr>
              <w:tblStyle w:val="Table"/>
              <w:tblW w:w="5000" w:type="pct"/>
              <w:tblLook w:val="0000" w:firstRow="0" w:lastRow="0" w:firstColumn="0" w:lastColumn="0" w:noHBand="0" w:noVBand="0"/>
            </w:tblPr>
            <w:tblGrid>
              <w:gridCol w:w="4437"/>
            </w:tblGrid>
            <w:tr w:rsidR="006E5A9F" w14:paraId="4FDD8B01" w14:textId="77777777">
              <w:tc>
                <w:tcPr>
                  <w:tcW w:w="0" w:type="auto"/>
                </w:tcPr>
                <w:p w14:paraId="08C3875B" w14:textId="77777777" w:rsidR="006E5A9F" w:rsidRDefault="00000000">
                  <w:pPr>
                    <w:pStyle w:val="Figure"/>
                    <w:jc w:val="center"/>
                  </w:pPr>
                  <w:bookmarkStart w:id="30" w:name="fig-LMdose-1"/>
                  <w:r>
                    <w:rPr>
                      <w:noProof/>
                    </w:rPr>
                    <w:drawing>
                      <wp:inline distT="0" distB="0" distL="0" distR="0" wp14:anchorId="60E64477" wp14:editId="7CDD7A98">
                        <wp:extent cx="2679192" cy="2679192"/>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gures/03-1a.png"/>
                                <pic:cNvPicPr>
                                  <a:picLocks noChangeAspect="1" noChangeArrowheads="1"/>
                                </pic:cNvPicPr>
                              </pic:nvPicPr>
                              <pic:blipFill>
                                <a:blip r:embed="rId18"/>
                                <a:stretch>
                                  <a:fillRect/>
                                </a:stretch>
                              </pic:blipFill>
                              <pic:spPr bwMode="auto">
                                <a:xfrm>
                                  <a:off x="0" y="0"/>
                                  <a:ext cx="2679192" cy="2679192"/>
                                </a:xfrm>
                                <a:prstGeom prst="rect">
                                  <a:avLst/>
                                </a:prstGeom>
                                <a:noFill/>
                                <a:ln w="9525">
                                  <a:noFill/>
                                  <a:headEnd/>
                                  <a:tailEnd/>
                                </a:ln>
                              </pic:spPr>
                            </pic:pic>
                          </a:graphicData>
                        </a:graphic>
                      </wp:inline>
                    </w:drawing>
                  </w:r>
                </w:p>
                <w:p w14:paraId="502C559F" w14:textId="77777777" w:rsidR="006E5A9F" w:rsidRDefault="00000000">
                  <w:pPr>
                    <w:pStyle w:val="ImageCaption"/>
                    <w:spacing w:before="200"/>
                  </w:pPr>
                  <w:r>
                    <w:t>(a) Vaccine strain H1N1-California-2009. The slopes are clearly not parallel, which is in opposition to the predictions of the mechanistic model.</w:t>
                  </w:r>
                </w:p>
              </w:tc>
              <w:bookmarkEnd w:id="30"/>
            </w:tr>
          </w:tbl>
          <w:p w14:paraId="012A81D4" w14:textId="77777777" w:rsidR="006E5A9F" w:rsidRDefault="006E5A9F"/>
        </w:tc>
        <w:tc>
          <w:tcPr>
            <w:tcW w:w="0" w:type="auto"/>
          </w:tcPr>
          <w:p w14:paraId="56C35B09" w14:textId="77777777" w:rsidR="006E5A9F" w:rsidRDefault="00000000">
            <w:pPr>
              <w:jc w:val="center"/>
            </w:pPr>
            <w:r>
              <w:t> </w:t>
            </w:r>
          </w:p>
        </w:tc>
        <w:tc>
          <w:tcPr>
            <w:tcW w:w="0" w:type="auto"/>
          </w:tcPr>
          <w:tbl>
            <w:tblPr>
              <w:tblStyle w:val="Table"/>
              <w:tblW w:w="5000" w:type="pct"/>
              <w:tblLook w:val="0000" w:firstRow="0" w:lastRow="0" w:firstColumn="0" w:lastColumn="0" w:noHBand="0" w:noVBand="0"/>
            </w:tblPr>
            <w:tblGrid>
              <w:gridCol w:w="4438"/>
            </w:tblGrid>
            <w:tr w:rsidR="006E5A9F" w14:paraId="77695247" w14:textId="77777777">
              <w:tc>
                <w:tcPr>
                  <w:tcW w:w="0" w:type="auto"/>
                </w:tcPr>
                <w:p w14:paraId="1F884AE1" w14:textId="77777777" w:rsidR="006E5A9F" w:rsidRDefault="00000000">
                  <w:pPr>
                    <w:pStyle w:val="Figure"/>
                    <w:jc w:val="center"/>
                  </w:pPr>
                  <w:bookmarkStart w:id="31" w:name="fig-LMdose-2"/>
                  <w:r>
                    <w:rPr>
                      <w:noProof/>
                    </w:rPr>
                    <w:drawing>
                      <wp:inline distT="0" distB="0" distL="0" distR="0" wp14:anchorId="57B5129A" wp14:editId="589781AC">
                        <wp:extent cx="2679192" cy="2679192"/>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gures/03-1b.png"/>
                                <pic:cNvPicPr>
                                  <a:picLocks noChangeAspect="1" noChangeArrowheads="1"/>
                                </pic:cNvPicPr>
                              </pic:nvPicPr>
                              <pic:blipFill>
                                <a:blip r:embed="rId19"/>
                                <a:stretch>
                                  <a:fillRect/>
                                </a:stretch>
                              </pic:blipFill>
                              <pic:spPr bwMode="auto">
                                <a:xfrm>
                                  <a:off x="0" y="0"/>
                                  <a:ext cx="2679192" cy="2679192"/>
                                </a:xfrm>
                                <a:prstGeom prst="rect">
                                  <a:avLst/>
                                </a:prstGeom>
                                <a:noFill/>
                                <a:ln w="9525">
                                  <a:noFill/>
                                  <a:headEnd/>
                                  <a:tailEnd/>
                                </a:ln>
                              </pic:spPr>
                            </pic:pic>
                          </a:graphicData>
                        </a:graphic>
                      </wp:inline>
                    </w:drawing>
                  </w:r>
                </w:p>
                <w:p w14:paraId="4AAD5A2D" w14:textId="77777777" w:rsidR="006E5A9F" w:rsidRDefault="00000000">
                  <w:pPr>
                    <w:pStyle w:val="ImageCaption"/>
                    <w:spacing w:before="200"/>
                  </w:pPr>
                  <w:r>
                    <w:t>(b) Vaccine strain H1N1-Michigan-2015. The slopes are very close to parallel, which is what we would expect if the mechanistic model was accurate to the true data generating process.</w:t>
                  </w:r>
                </w:p>
              </w:tc>
              <w:bookmarkEnd w:id="31"/>
            </w:tr>
          </w:tbl>
          <w:p w14:paraId="1E865725" w14:textId="77777777" w:rsidR="006E5A9F" w:rsidRDefault="006E5A9F"/>
        </w:tc>
      </w:tr>
    </w:tbl>
    <w:p w14:paraId="36F8C42E" w14:textId="77777777" w:rsidR="006E5A9F" w:rsidRDefault="00000000">
      <w:pPr>
        <w:pStyle w:val="ImageCaption"/>
        <w:spacing w:before="200"/>
      </w:pPr>
      <w:r>
        <w:t>Figure 6: Fold change (‘titerincrease’) vs. log pre-vaccination HAI titer (‘prevactiter’) for two homologous vaccine/test assays using the UGAFluVac data. Both are stratified by dose (FluZone SD vs. FluZone HD).</w:t>
      </w:r>
    </w:p>
    <w:p w14:paraId="008ADF86" w14:textId="77777777" w:rsidR="006E5A9F" w:rsidRDefault="00000000">
      <w:pPr>
        <w:pStyle w:val="BodyText"/>
      </w:pPr>
      <w:r>
        <w:t>We have also previously worked on combining data from multiple vaccine types through a collaboration with Andrea Sant (</w:t>
      </w:r>
      <w:hyperlink w:anchor="fig-LMsant">
        <w:r>
          <w:rPr>
            <w:rStyle w:val="Hyperlink"/>
          </w:rPr>
          <w:t>Figure 7</w:t>
        </w:r>
      </w:hyperlink>
      <w:r>
        <w:t>). Since these two studies measured two different immune markers (T-cells vs. HAI titer), we could not directly combine measurements from the two studies. But this could be an overall benefit for the project, as we could address whether different immune markers match or differ from the model predictions consistently.</w:t>
      </w:r>
    </w:p>
    <w:tbl>
      <w:tblPr>
        <w:tblStyle w:val="Table"/>
        <w:tblW w:w="5000" w:type="pct"/>
        <w:tblLook w:val="0000" w:firstRow="0" w:lastRow="0" w:firstColumn="0" w:lastColumn="0" w:noHBand="0" w:noVBand="0"/>
      </w:tblPr>
      <w:tblGrid>
        <w:gridCol w:w="4653"/>
        <w:gridCol w:w="269"/>
        <w:gridCol w:w="4654"/>
      </w:tblGrid>
      <w:tr w:rsidR="006E5A9F" w14:paraId="4000A758" w14:textId="77777777">
        <w:tc>
          <w:tcPr>
            <w:tcW w:w="0" w:type="auto"/>
          </w:tcPr>
          <w:tbl>
            <w:tblPr>
              <w:tblStyle w:val="Table"/>
              <w:tblW w:w="5000" w:type="pct"/>
              <w:tblLook w:val="0000" w:firstRow="0" w:lastRow="0" w:firstColumn="0" w:lastColumn="0" w:noHBand="0" w:noVBand="0"/>
            </w:tblPr>
            <w:tblGrid>
              <w:gridCol w:w="4437"/>
            </w:tblGrid>
            <w:tr w:rsidR="006E5A9F" w14:paraId="26E19851" w14:textId="77777777">
              <w:tc>
                <w:tcPr>
                  <w:tcW w:w="0" w:type="auto"/>
                </w:tcPr>
                <w:p w14:paraId="6AADBDBE" w14:textId="77777777" w:rsidR="006E5A9F" w:rsidRDefault="00000000">
                  <w:pPr>
                    <w:pStyle w:val="Figure"/>
                    <w:jc w:val="center"/>
                  </w:pPr>
                  <w:bookmarkStart w:id="32" w:name="fig-LMsant-1"/>
                  <w:r>
                    <w:rPr>
                      <w:noProof/>
                    </w:rPr>
                    <w:drawing>
                      <wp:inline distT="0" distB="0" distL="0" distR="0" wp14:anchorId="47569A9F" wp14:editId="60769842">
                        <wp:extent cx="2679192" cy="1786128"/>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gures/03-2a.png"/>
                                <pic:cNvPicPr>
                                  <a:picLocks noChangeAspect="1" noChangeArrowheads="1"/>
                                </pic:cNvPicPr>
                              </pic:nvPicPr>
                              <pic:blipFill>
                                <a:blip r:embed="rId20"/>
                                <a:stretch>
                                  <a:fillRect/>
                                </a:stretch>
                              </pic:blipFill>
                              <pic:spPr bwMode="auto">
                                <a:xfrm>
                                  <a:off x="0" y="0"/>
                                  <a:ext cx="2679192" cy="1786128"/>
                                </a:xfrm>
                                <a:prstGeom prst="rect">
                                  <a:avLst/>
                                </a:prstGeom>
                                <a:noFill/>
                                <a:ln w="9525">
                                  <a:noFill/>
                                  <a:headEnd/>
                                  <a:tailEnd/>
                                </a:ln>
                              </pic:spPr>
                            </pic:pic>
                          </a:graphicData>
                        </a:graphic>
                      </wp:inline>
                    </w:drawing>
                  </w:r>
                </w:p>
                <w:p w14:paraId="2655065B" w14:textId="77777777" w:rsidR="006E5A9F" w:rsidRDefault="00000000">
                  <w:pPr>
                    <w:pStyle w:val="ImageCaption"/>
                    <w:spacing w:before="200"/>
                  </w:pPr>
                  <w:r>
                    <w:lastRenderedPageBreak/>
                    <w:t>(a) Data provided by Andrea Sant at the University of Rochester. The immune marker used was strain-specific (H1N1-California-2009) CD4+ T-cell count.</w:t>
                  </w:r>
                </w:p>
              </w:tc>
              <w:bookmarkEnd w:id="32"/>
            </w:tr>
          </w:tbl>
          <w:p w14:paraId="379D2B4D" w14:textId="77777777" w:rsidR="006E5A9F" w:rsidRDefault="006E5A9F"/>
        </w:tc>
        <w:tc>
          <w:tcPr>
            <w:tcW w:w="0" w:type="auto"/>
          </w:tcPr>
          <w:p w14:paraId="2392F494" w14:textId="77777777" w:rsidR="006E5A9F" w:rsidRDefault="00000000">
            <w:pPr>
              <w:jc w:val="center"/>
            </w:pPr>
            <w:r>
              <w:lastRenderedPageBreak/>
              <w:t> </w:t>
            </w:r>
          </w:p>
        </w:tc>
        <w:tc>
          <w:tcPr>
            <w:tcW w:w="0" w:type="auto"/>
          </w:tcPr>
          <w:tbl>
            <w:tblPr>
              <w:tblStyle w:val="Table"/>
              <w:tblW w:w="5000" w:type="pct"/>
              <w:tblLook w:val="0000" w:firstRow="0" w:lastRow="0" w:firstColumn="0" w:lastColumn="0" w:noHBand="0" w:noVBand="0"/>
            </w:tblPr>
            <w:tblGrid>
              <w:gridCol w:w="4438"/>
            </w:tblGrid>
            <w:tr w:rsidR="006E5A9F" w14:paraId="010B4324" w14:textId="77777777">
              <w:tc>
                <w:tcPr>
                  <w:tcW w:w="0" w:type="auto"/>
                </w:tcPr>
                <w:p w14:paraId="57BD8FCE" w14:textId="77777777" w:rsidR="006E5A9F" w:rsidRDefault="00000000">
                  <w:pPr>
                    <w:pStyle w:val="Figure"/>
                    <w:jc w:val="center"/>
                  </w:pPr>
                  <w:bookmarkStart w:id="33" w:name="fig-LMsant-2"/>
                  <w:r>
                    <w:rPr>
                      <w:noProof/>
                    </w:rPr>
                    <w:drawing>
                      <wp:inline distT="0" distB="0" distL="0" distR="0" wp14:anchorId="40BBF54B" wp14:editId="05BE0582">
                        <wp:extent cx="2679192" cy="1786128"/>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gures/03-2b.png"/>
                                <pic:cNvPicPr>
                                  <a:picLocks noChangeAspect="1" noChangeArrowheads="1"/>
                                </pic:cNvPicPr>
                              </pic:nvPicPr>
                              <pic:blipFill>
                                <a:blip r:embed="rId21"/>
                                <a:stretch>
                                  <a:fillRect/>
                                </a:stretch>
                              </pic:blipFill>
                              <pic:spPr bwMode="auto">
                                <a:xfrm>
                                  <a:off x="0" y="0"/>
                                  <a:ext cx="2679192" cy="1786128"/>
                                </a:xfrm>
                                <a:prstGeom prst="rect">
                                  <a:avLst/>
                                </a:prstGeom>
                                <a:noFill/>
                                <a:ln w="9525">
                                  <a:noFill/>
                                  <a:headEnd/>
                                  <a:tailEnd/>
                                </a:ln>
                              </pic:spPr>
                            </pic:pic>
                          </a:graphicData>
                        </a:graphic>
                      </wp:inline>
                    </w:drawing>
                  </w:r>
                </w:p>
                <w:p w14:paraId="1E42BAF6" w14:textId="77777777" w:rsidR="006E5A9F" w:rsidRDefault="00000000">
                  <w:pPr>
                    <w:pStyle w:val="ImageCaption"/>
                    <w:spacing w:before="200"/>
                  </w:pPr>
                  <w:r>
                    <w:lastRenderedPageBreak/>
                    <w:t>(b) Data provided by Ted Ross at the University of Georgia. The immune marker used was HAI titer to H1N1-Michigan-2015, because the only cohort that received the FluMist vaccine included this vaccine component.</w:t>
                  </w:r>
                </w:p>
              </w:tc>
              <w:bookmarkEnd w:id="33"/>
            </w:tr>
          </w:tbl>
          <w:p w14:paraId="281B7267" w14:textId="77777777" w:rsidR="006E5A9F" w:rsidRDefault="006E5A9F"/>
        </w:tc>
      </w:tr>
    </w:tbl>
    <w:p w14:paraId="7420BCB6" w14:textId="77777777" w:rsidR="006E5A9F" w:rsidRDefault="00000000">
      <w:pPr>
        <w:pStyle w:val="ImageCaption"/>
        <w:spacing w:before="200"/>
      </w:pPr>
      <w:r>
        <w:lastRenderedPageBreak/>
        <w:t>Figure 7: Fold change vs. log pre-existing immune marker for multiple vaccine types at the two study sites.</w:t>
      </w:r>
    </w:p>
    <w:p w14:paraId="26F47D44" w14:textId="77777777" w:rsidR="006E5A9F" w:rsidRDefault="00000000">
      <w:pPr>
        <w:pStyle w:val="Heading2"/>
      </w:pPr>
      <w:bookmarkStart w:id="34" w:name="sec-3c"/>
      <w:bookmarkEnd w:id="29"/>
      <w:r>
        <w:t>3.3 Analytical plan</w:t>
      </w:r>
    </w:p>
    <w:p w14:paraId="0C7669F4" w14:textId="77777777" w:rsidR="006E5A9F" w:rsidRDefault="00000000">
      <w:pPr>
        <w:pStyle w:val="Compact"/>
        <w:numPr>
          <w:ilvl w:val="0"/>
          <w:numId w:val="8"/>
        </w:numPr>
      </w:pPr>
      <w:r>
        <w:t>We would fit several linear models of log-log relationship between increase in antibody titer post-vaccination and pre-vaccination immunity, incorporating other effects (these could be simple and easily implemented frequentist models, potentially ranging to complex hierarchical Bayesian models which incorporate the multilevel structure of the data), and compare the coefficients of these models.</w:t>
      </w:r>
    </w:p>
    <w:p w14:paraId="35CB7DB9" w14:textId="77777777" w:rsidR="006E5A9F" w:rsidRDefault="00000000">
      <w:pPr>
        <w:pStyle w:val="Compact"/>
        <w:numPr>
          <w:ilvl w:val="0"/>
          <w:numId w:val="8"/>
        </w:numPr>
      </w:pPr>
      <w:r>
        <w:t>For example, the Zarnitsyna models expect the slope for the relationship between fold change in titer and log pre-existing antibody titer to be parallel for same doses of the different vaccine. We could determine “how” parallel the slopes are for each of the strains. Alternatively, we could compare the fit of the variable slopes model to the fit of the parallel slopes model, where the lines are constrained to be parallel.</w:t>
      </w:r>
    </w:p>
    <w:p w14:paraId="5AA2F201" w14:textId="77777777" w:rsidR="006E5A9F" w:rsidRDefault="00000000">
      <w:pPr>
        <w:pStyle w:val="Compact"/>
        <w:numPr>
          <w:ilvl w:val="0"/>
          <w:numId w:val="8"/>
        </w:numPr>
      </w:pPr>
      <w:r>
        <w:t>We would incorporate dose and type as effect modifiers of this relationship. Furthermore, we would control appropriately for demographic factors to mitigate confounding by measured variables in the estimates. If multiple study sites have data on the same immune markers and vaccines, we could pool these data together using either the hierarchical framework or a meta-analytic framework, which handles error pooling in a different way.</w:t>
      </w:r>
    </w:p>
    <w:p w14:paraId="382AFB5D" w14:textId="77777777" w:rsidR="006E5A9F" w:rsidRDefault="00000000">
      <w:pPr>
        <w:pStyle w:val="Heading2"/>
      </w:pPr>
      <w:bookmarkStart w:id="35" w:name="sec-3d"/>
      <w:bookmarkEnd w:id="34"/>
      <w:r>
        <w:t>3.4 Feasibility analysis</w:t>
      </w:r>
    </w:p>
    <w:p w14:paraId="63F9E0F2" w14:textId="77777777" w:rsidR="006E5A9F" w:rsidRDefault="00000000">
      <w:pPr>
        <w:pStyle w:val="FirstParagraph"/>
      </w:pPr>
      <w:r>
        <w:rPr>
          <w:b/>
          <w:bCs/>
        </w:rPr>
        <w:t>This aim may be significantly more feasible if limited to the homologous case.</w:t>
      </w:r>
      <w:r>
        <w:t xml:space="preserve"> Many of the DIVERsity datasets will likely not include heterologous information anyways, and this also avoids co-dependency on the antigenic distance project. Merging the two ideas together could be a potential project after both are completed.</w:t>
      </w:r>
    </w:p>
    <w:p w14:paraId="04378CAB" w14:textId="77777777" w:rsidR="006E5A9F" w:rsidRDefault="00000000">
      <w:pPr>
        <w:pStyle w:val="BodyText"/>
      </w:pPr>
      <w:r>
        <w:t xml:space="preserve">If we only have access to Ted Ross’ UGAFluVac data (and Andrea Sant’s data), only part of this analysis can be completed. While the UGAFluVac data contains data on three vaccine types (FluZone, FluBlok, and FluMist), the sample sizes for FluBlok and FluMist are smaller and do not contain the longitudinal component that is present in the FluZone cohort. While the data contains participants who received both FluZone SD and FluZone HD, the high dose vaccine recipients are limited to participants who are over 65 (and also elected to receive the HD vaccine), which limits the sample size and likely conditions the subsample on a confounder. (This limitation may not be exclusive to the UGAFluVac data, but at time of writing, these are the only data that I have access to.) We could compare the responses between Ted’s data and Andrea’s data, but with only these two data sources, it is </w:t>
      </w:r>
      <w:r>
        <w:lastRenderedPageBreak/>
        <w:t>impossible to say whether differences are truly caused by the vaccine type, or if they are caused by differences in protocols (or whatever else) between the two study sites.</w:t>
      </w:r>
    </w:p>
    <w:p w14:paraId="621C2D0C" w14:textId="77777777" w:rsidR="006E5A9F" w:rsidRDefault="00000000">
      <w:pPr>
        <w:pStyle w:val="BodyText"/>
      </w:pPr>
      <w:r>
        <w:t>Whether this aim is feasible or not completely depends on how quickly we get access to the DIVERsity data sources, and how compatible all the data is (and of course how difficult it is to combine the data). Even if data are able to be combined there are potentially issues with group sizes – e.g. if three studies collect HAI data on two vaccine candidates, and then one study collects HAI data on a third vaccine candidate, it is impossible to say whether any differences with the third vaccine candidate are because the candidate is actually different or because of study site differences.</w:t>
      </w:r>
    </w:p>
    <w:p w14:paraId="6DF916A6" w14:textId="77777777" w:rsidR="006E5A9F" w:rsidRDefault="00000000">
      <w:pPr>
        <w:pStyle w:val="BodyText"/>
      </w:pPr>
      <w:r>
        <w:t>Overall, I think this is a potentially very interesting project, but I’m hesitant to list any aims for my dissertation that require me to work with data that I might not get until a month before I have to defend. We would need to discuss whether the portion of the project that can be completed with only Ted’s data is sufficient.</w:t>
      </w:r>
    </w:p>
    <w:p w14:paraId="07E6D0B9" w14:textId="77777777" w:rsidR="006E5A9F" w:rsidRDefault="00000000">
      <w:pPr>
        <w:pStyle w:val="Heading1"/>
      </w:pPr>
      <w:bookmarkStart w:id="36" w:name="_Toc121204963"/>
      <w:bookmarkStart w:id="37" w:name="sec-4"/>
      <w:bookmarkEnd w:id="24"/>
      <w:bookmarkEnd w:id="35"/>
      <w:r>
        <w:t xml:space="preserve">4. </w:t>
      </w:r>
      <w:commentRangeStart w:id="38"/>
      <w:commentRangeStart w:id="39"/>
      <w:commentRangeStart w:id="40"/>
      <w:commentRangeStart w:id="41"/>
      <w:commentRangeStart w:id="42"/>
      <w:r>
        <w:t>Describe individual differences in antigenic landscapes.</w:t>
      </w:r>
      <w:bookmarkEnd w:id="36"/>
      <w:commentRangeEnd w:id="38"/>
      <w:r w:rsidR="00E3728D">
        <w:rPr>
          <w:rStyle w:val="CommentReference"/>
          <w:rFonts w:asciiTheme="minorHAnsi" w:eastAsiaTheme="minorHAnsi" w:hAnsiTheme="minorHAnsi" w:cstheme="minorBidi"/>
          <w:b w:val="0"/>
          <w:bCs w:val="0"/>
          <w:color w:val="auto"/>
        </w:rPr>
        <w:commentReference w:id="38"/>
      </w:r>
      <w:commentRangeEnd w:id="39"/>
      <w:r w:rsidR="00E3728D">
        <w:rPr>
          <w:rStyle w:val="CommentReference"/>
          <w:rFonts w:asciiTheme="minorHAnsi" w:eastAsiaTheme="minorHAnsi" w:hAnsiTheme="minorHAnsi" w:cstheme="minorBidi"/>
          <w:b w:val="0"/>
          <w:bCs w:val="0"/>
          <w:color w:val="auto"/>
        </w:rPr>
        <w:commentReference w:id="39"/>
      </w:r>
      <w:commentRangeEnd w:id="40"/>
      <w:r w:rsidR="00E3728D">
        <w:rPr>
          <w:rStyle w:val="CommentReference"/>
          <w:rFonts w:asciiTheme="minorHAnsi" w:eastAsiaTheme="minorHAnsi" w:hAnsiTheme="minorHAnsi" w:cstheme="minorBidi"/>
          <w:b w:val="0"/>
          <w:bCs w:val="0"/>
          <w:color w:val="auto"/>
        </w:rPr>
        <w:commentReference w:id="40"/>
      </w:r>
      <w:commentRangeEnd w:id="41"/>
      <w:r w:rsidR="00E3728D">
        <w:rPr>
          <w:rStyle w:val="CommentReference"/>
          <w:rFonts w:asciiTheme="minorHAnsi" w:eastAsiaTheme="minorHAnsi" w:hAnsiTheme="minorHAnsi" w:cstheme="minorBidi"/>
          <w:b w:val="0"/>
          <w:bCs w:val="0"/>
          <w:color w:val="auto"/>
        </w:rPr>
        <w:commentReference w:id="41"/>
      </w:r>
      <w:commentRangeEnd w:id="42"/>
      <w:r w:rsidR="00E3728D">
        <w:rPr>
          <w:rStyle w:val="CommentReference"/>
          <w:rFonts w:asciiTheme="minorHAnsi" w:eastAsiaTheme="minorHAnsi" w:hAnsiTheme="minorHAnsi" w:cstheme="minorBidi"/>
          <w:b w:val="0"/>
          <w:bCs w:val="0"/>
          <w:color w:val="auto"/>
        </w:rPr>
        <w:commentReference w:id="42"/>
      </w:r>
    </w:p>
    <w:p w14:paraId="3CE20AC5" w14:textId="77777777" w:rsidR="006E5A9F" w:rsidRDefault="00000000">
      <w:pPr>
        <w:pStyle w:val="FirstParagraph"/>
      </w:pPr>
      <w:r>
        <w:t xml:space="preserve">This project was proposed by Sarah Cobey as a follow-up to Amanda Skarlupka’s antigenic distance project at the DIVERsity bimonthly science meeting in November 2022. The main goal would be to analyze patterns in antigenic landscapes across subgroups of individuals – because of the “clustering” nature of this idea, I originally had it grouped with </w:t>
      </w:r>
      <w:hyperlink w:anchor="sec-2">
        <w:r>
          <w:rPr>
            <w:rStyle w:val="Hyperlink"/>
          </w:rPr>
          <w:t>Section 2</w:t>
        </w:r>
      </w:hyperlink>
      <w:r>
        <w:t>, but I think it is a completely separate idea.</w:t>
      </w:r>
    </w:p>
    <w:p w14:paraId="46C3FEEF" w14:textId="77777777" w:rsidR="006E5A9F" w:rsidRDefault="00000000">
      <w:pPr>
        <w:pStyle w:val="BodyText"/>
      </w:pPr>
      <w:r>
        <w:t>The main goal of this project would be to analyze the antigenic landscapes of consistently high responders. If an individual responds well to one strain, how many, and which strains, do they also tend to respond well to? What host factors are associated with these patterns? See Sarah Cobey’s comments during the DIVERsity November 2022 meeting.</w:t>
      </w:r>
    </w:p>
    <w:p w14:paraId="6817E8B8" w14:textId="77777777" w:rsidR="006E5A9F" w:rsidRDefault="00000000">
      <w:pPr>
        <w:pStyle w:val="BodyText"/>
      </w:pPr>
      <w:r>
        <w:t>I think this aim is potentially feasible, since Amanda has already calculated the antigenic landscapes. The difficult part would be figuring out how to quantify the similarity of antigenic landscapes</w:t>
      </w:r>
    </w:p>
    <w:p w14:paraId="7847C923" w14:textId="77777777" w:rsidR="006E5A9F" w:rsidRDefault="00000000">
      <w:pPr>
        <w:pStyle w:val="Heading1"/>
      </w:pPr>
      <w:bookmarkStart w:id="43" w:name="_Toc121204964"/>
      <w:bookmarkStart w:id="44" w:name="sec-5"/>
      <w:bookmarkEnd w:id="37"/>
      <w:r>
        <w:t xml:space="preserve">5. Determine if viral characteristics other than antigenic distance are important for predicting/modeling immune response. E.g. Justin Bahl’s </w:t>
      </w:r>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eff</m:t>
            </m:r>
          </m:sub>
        </m:sSub>
      </m:oMath>
      <w:r>
        <w:t xml:space="preserve"> sequence data.</w:t>
      </w:r>
      <w:bookmarkEnd w:id="43"/>
    </w:p>
    <w:p w14:paraId="74FC2BF0" w14:textId="77777777" w:rsidR="006E5A9F" w:rsidRDefault="00000000">
      <w:pPr>
        <w:pStyle w:val="FirstParagraph"/>
      </w:pPr>
      <w:r>
        <w:t>I am not sure that this aim is feasible. While it is interesting to me, I don’t really know anything about bioinformatics or sequence data so it would be a steep learning curve for me, and might not be possible in conjunction with the other two aims that I have to do.</w:t>
      </w:r>
    </w:p>
    <w:p w14:paraId="092E8981" w14:textId="77777777" w:rsidR="006E5A9F" w:rsidRDefault="00000000">
      <w:pPr>
        <w:pStyle w:val="Heading1"/>
      </w:pPr>
      <w:bookmarkStart w:id="45" w:name="_Toc121204965"/>
      <w:bookmarkStart w:id="46" w:name="sec-6"/>
      <w:bookmarkEnd w:id="44"/>
      <w:r>
        <w:t>6. Numerical summaries for antigenic landscapes</w:t>
      </w:r>
      <w:bookmarkEnd w:id="45"/>
    </w:p>
    <w:p w14:paraId="595DE251" w14:textId="77777777" w:rsidR="006E5A9F" w:rsidRDefault="00000000">
      <w:pPr>
        <w:numPr>
          <w:ilvl w:val="0"/>
          <w:numId w:val="9"/>
        </w:numPr>
      </w:pPr>
      <w:r>
        <w:t xml:space="preserve">In Amanda’s original paper, the main summary considered for an antigenic landscape is the AUROCC under a linear regression fit. This project would be a </w:t>
      </w:r>
      <w:r>
        <w:lastRenderedPageBreak/>
        <w:t>follow-up on Ben Cowling’s idea to utilize both the slope and intercept of the linear regression fit to describe the landscape. The slope and intercept of the antigenic landscape fit might be good indicators of breadth and magnitude respectively, but using AUC can disguise the difference between these two things.</w:t>
      </w:r>
    </w:p>
    <w:p w14:paraId="01C03012" w14:textId="77777777" w:rsidR="006E5A9F" w:rsidRDefault="00000000">
      <w:pPr>
        <w:numPr>
          <w:ilvl w:val="0"/>
          <w:numId w:val="9"/>
        </w:numPr>
      </w:pPr>
      <w:r>
        <w:t>The main barrier of the feasibility for this project to me is taking this general idea and turning it into a specific question – maybe I’ll have a better idea for this after reading Amanda’s antigenic distance manuscript. How do we get from “we think slope and intercept describe breadth and magnitude of the response” to showing why they are useful?</w:t>
      </w:r>
    </w:p>
    <w:p w14:paraId="4500D291" w14:textId="77777777" w:rsidR="006E5A9F" w:rsidRDefault="00000000">
      <w:pPr>
        <w:numPr>
          <w:ilvl w:val="0"/>
          <w:numId w:val="9"/>
        </w:numPr>
      </w:pPr>
      <w:r>
        <w:t>Sarah Cobey’s idea on investigating landscapes of high responders potentially fits into this aim well also – we could determine whether high responders tend to have higher intercepts, slopes, or both or neither.</w:t>
      </w:r>
    </w:p>
    <w:p w14:paraId="4B9AEF13" w14:textId="77777777" w:rsidR="006E5A9F" w:rsidRDefault="00000000">
      <w:pPr>
        <w:numPr>
          <w:ilvl w:val="0"/>
          <w:numId w:val="9"/>
        </w:numPr>
      </w:pPr>
      <w:r>
        <w:t>Would we also want to find other potential summaries and incorporate these into this paper? E.g. time above threshold that Amanda discussed but did not use in her analysis.</w:t>
      </w:r>
    </w:p>
    <w:p w14:paraId="11D29A0D" w14:textId="77777777" w:rsidR="006E5A9F" w:rsidRDefault="00000000">
      <w:pPr>
        <w:pStyle w:val="Heading1"/>
      </w:pPr>
      <w:bookmarkStart w:id="47" w:name="_Toc121204966"/>
      <w:bookmarkStart w:id="48" w:name="sec-7"/>
      <w:bookmarkEnd w:id="46"/>
      <w:r>
        <w:t xml:space="preserve">7. </w:t>
      </w:r>
      <w:commentRangeStart w:id="49"/>
      <w:r>
        <w:t xml:space="preserve">Quantify the direct effect of </w:t>
      </w:r>
      <w:proofErr w:type="spellStart"/>
      <w:r>
        <w:t>immunosenesence</w:t>
      </w:r>
      <w:proofErr w:type="spellEnd"/>
      <w:r>
        <w:t xml:space="preserve"> on waning immunity.</w:t>
      </w:r>
      <w:bookmarkEnd w:id="47"/>
      <w:commentRangeEnd w:id="49"/>
      <w:r w:rsidR="00E3728D">
        <w:rPr>
          <w:rStyle w:val="CommentReference"/>
          <w:rFonts w:asciiTheme="minorHAnsi" w:eastAsiaTheme="minorHAnsi" w:hAnsiTheme="minorHAnsi" w:cstheme="minorBidi"/>
          <w:b w:val="0"/>
          <w:bCs w:val="0"/>
          <w:color w:val="auto"/>
        </w:rPr>
        <w:commentReference w:id="49"/>
      </w:r>
    </w:p>
    <w:p w14:paraId="576C98A6" w14:textId="77777777" w:rsidR="006E5A9F" w:rsidRDefault="00000000">
      <w:pPr>
        <w:numPr>
          <w:ilvl w:val="0"/>
          <w:numId w:val="10"/>
        </w:numPr>
      </w:pPr>
      <w:r>
        <w:t>Mediation analysis where birth year -&gt; age -&gt; immune response?</w:t>
      </w:r>
    </w:p>
    <w:p w14:paraId="7C28ED6B" w14:textId="77777777" w:rsidR="006E5A9F" w:rsidRDefault="00000000">
      <w:pPr>
        <w:numPr>
          <w:ilvl w:val="0"/>
          <w:numId w:val="10"/>
        </w:numPr>
      </w:pPr>
      <w:r>
        <w:t>I don’t know a lot about mediation analysis, but I’m pretty good at figuring out methods so I don’t think that’s a huge barrier here.</w:t>
      </w:r>
    </w:p>
    <w:p w14:paraId="49292F43" w14:textId="77777777" w:rsidR="006E5A9F" w:rsidRDefault="00000000">
      <w:pPr>
        <w:numPr>
          <w:ilvl w:val="0"/>
          <w:numId w:val="10"/>
        </w:numPr>
      </w:pPr>
      <w:r>
        <w:t>The bigger issue, I think, is whether or not this aim makes sense to do and answers a question that people are asking. Of course it contributes to the overall question of “What things affect flu responses” but these kinds of direct effect calculations are often not as useful for our field as they would be for policy-driven fields. Need to discuss with Andreas if this makes any sense.</w:t>
      </w:r>
    </w:p>
    <w:p w14:paraId="4C06EDE3" w14:textId="77777777" w:rsidR="006E5A9F" w:rsidRDefault="00000000">
      <w:pPr>
        <w:pStyle w:val="Heading1"/>
      </w:pPr>
      <w:bookmarkStart w:id="50" w:name="_Toc121204967"/>
      <w:bookmarkStart w:id="51" w:name="references"/>
      <w:bookmarkEnd w:id="48"/>
      <w:r>
        <w:t>8. References</w:t>
      </w:r>
      <w:bookmarkEnd w:id="50"/>
    </w:p>
    <w:p w14:paraId="40E1016B" w14:textId="77777777" w:rsidR="006E5A9F" w:rsidRDefault="00000000">
      <w:pPr>
        <w:pStyle w:val="Bibliography"/>
      </w:pPr>
      <w:bookmarkStart w:id="52" w:name="ref-dhakal2019"/>
      <w:bookmarkStart w:id="53" w:name="refs"/>
      <w:r>
        <w:t xml:space="preserve">Dhakal, Santosh, and Sabra L. Klein. 2019. “Host Factors Impact Vaccine Efficacy: Implications for Seasonal and Universal Influenza Vaccine Programs.” </w:t>
      </w:r>
      <w:r>
        <w:rPr>
          <w:i/>
          <w:iCs/>
        </w:rPr>
        <w:t>J Virol</w:t>
      </w:r>
      <w:r>
        <w:t xml:space="preserve"> 93 (21): e00797–19. </w:t>
      </w:r>
      <w:hyperlink r:id="rId22">
        <w:r>
          <w:rPr>
            <w:rStyle w:val="Hyperlink"/>
          </w:rPr>
          <w:t>https://doi.org/10.1128/JVI.00797-19</w:t>
        </w:r>
      </w:hyperlink>
      <w:r>
        <w:t>.</w:t>
      </w:r>
    </w:p>
    <w:p w14:paraId="13004B8D" w14:textId="77777777" w:rsidR="006E5A9F" w:rsidRDefault="00000000">
      <w:pPr>
        <w:pStyle w:val="Bibliography"/>
      </w:pPr>
      <w:bookmarkStart w:id="54" w:name="ref-linderman2020"/>
      <w:bookmarkEnd w:id="52"/>
      <w:r>
        <w:t xml:space="preserve">Linderman, Susanne L., Ali H. Ellebedy, Carl Davis, Christiane S. Eberhardt, Rustom Antia, Rafi Ahmed, and Veronika I. Zarnitsyna. 2020. “Influenza Immunization in the Context of Preexisting Immunity.” </w:t>
      </w:r>
      <w:r>
        <w:rPr>
          <w:i/>
          <w:iCs/>
        </w:rPr>
        <w:t>Cold Spring Harb Perspect Med</w:t>
      </w:r>
      <w:r>
        <w:t xml:space="preserve">, September, a040964. </w:t>
      </w:r>
      <w:hyperlink r:id="rId23">
        <w:r>
          <w:rPr>
            <w:rStyle w:val="Hyperlink"/>
          </w:rPr>
          <w:t>https://doi.org/10.1101/cshperspect.a040964</w:t>
        </w:r>
      </w:hyperlink>
      <w:r>
        <w:t>.</w:t>
      </w:r>
    </w:p>
    <w:p w14:paraId="0D5F265C" w14:textId="77777777" w:rsidR="006E5A9F" w:rsidRDefault="00000000">
      <w:pPr>
        <w:pStyle w:val="Bibliography"/>
      </w:pPr>
      <w:bookmarkStart w:id="55" w:name="ref-oidtman2021"/>
      <w:bookmarkEnd w:id="54"/>
      <w:r>
        <w:t xml:space="preserve">Oidtman, Rachel J., Philip Arevalo, Qifang Bi, Lauren McGough, Christopher Joel Russo, Diana Vera Cruz, Marcos Costa Vieira, and Katelyn M. Gostic. 2021. “Influenza Immune </w:t>
      </w:r>
      <w:r>
        <w:lastRenderedPageBreak/>
        <w:t xml:space="preserve">Escape Under Heterogeneous Host Immune Histories.” </w:t>
      </w:r>
      <w:r>
        <w:rPr>
          <w:i/>
          <w:iCs/>
        </w:rPr>
        <w:t>Trends in Microbiology</w:t>
      </w:r>
      <w:r>
        <w:t xml:space="preserve">, July. </w:t>
      </w:r>
      <w:hyperlink r:id="rId24">
        <w:r>
          <w:rPr>
            <w:rStyle w:val="Hyperlink"/>
          </w:rPr>
          <w:t>https://doi.org/10.1016/j.tim.2021.05.009</w:t>
        </w:r>
      </w:hyperlink>
      <w:r>
        <w:t>.</w:t>
      </w:r>
    </w:p>
    <w:p w14:paraId="164F4B80" w14:textId="77777777" w:rsidR="006E5A9F" w:rsidRDefault="00000000">
      <w:pPr>
        <w:pStyle w:val="Bibliography"/>
      </w:pPr>
      <w:bookmarkStart w:id="56" w:name="ref-zarnitsyna2015"/>
      <w:bookmarkEnd w:id="55"/>
      <w:r>
        <w:t xml:space="preserve">Zarnitsyna, Veronika I., Ali H. Ellebedy, Carl Davis, Joshy Jacob, Rafi Ahmed, and Rustom Antia. 2015. “Masking of Antigenic Epitopes by Antibodies Shapes the Humoral Immune Response to Influenza.” </w:t>
      </w:r>
      <w:r>
        <w:rPr>
          <w:i/>
          <w:iCs/>
        </w:rPr>
        <w:t>Philosophical Transactions of the Royal Society B: Biological Sciences</w:t>
      </w:r>
      <w:r>
        <w:t xml:space="preserve"> 370 (1676): 20140248. </w:t>
      </w:r>
      <w:hyperlink r:id="rId25">
        <w:r>
          <w:rPr>
            <w:rStyle w:val="Hyperlink"/>
          </w:rPr>
          <w:t>https://doi.org/10.1098/rstb.2014.0248</w:t>
        </w:r>
      </w:hyperlink>
      <w:r>
        <w:t>.</w:t>
      </w:r>
    </w:p>
    <w:p w14:paraId="7B102A30" w14:textId="77777777" w:rsidR="006E5A9F" w:rsidRDefault="00000000">
      <w:pPr>
        <w:pStyle w:val="Bibliography"/>
      </w:pPr>
      <w:bookmarkStart w:id="57" w:name="ref-zarnitsyna2016"/>
      <w:bookmarkEnd w:id="56"/>
      <w:r>
        <w:t xml:space="preserve">Zarnitsyna, Veronika I., Jennie Lavine, Ali Ellebedy, Rafi Ahmed, and Rustom Antia. 2016. “Multi-Epitope Models Explain How Pre-existing Antibodies Affect the Generation of Broadly Protective Responses to Influenza.” </w:t>
      </w:r>
      <w:r>
        <w:rPr>
          <w:i/>
          <w:iCs/>
        </w:rPr>
        <w:t>PLoS Pathog</w:t>
      </w:r>
      <w:r>
        <w:t xml:space="preserve"> 12 (6). </w:t>
      </w:r>
      <w:hyperlink r:id="rId26">
        <w:r>
          <w:rPr>
            <w:rStyle w:val="Hyperlink"/>
          </w:rPr>
          <w:t>https://doi.org/10.1371/journal.ppat.1005692</w:t>
        </w:r>
      </w:hyperlink>
      <w:r>
        <w:t>.</w:t>
      </w:r>
      <w:bookmarkEnd w:id="51"/>
      <w:bookmarkEnd w:id="53"/>
      <w:bookmarkEnd w:id="57"/>
    </w:p>
    <w:sectPr w:rsidR="006E5A9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esley Billings" w:date="2022-12-09T16:22:00Z" w:initials="WB">
    <w:p w14:paraId="0284F757" w14:textId="77777777" w:rsidR="004600B7" w:rsidRDefault="004600B7" w:rsidP="00050539">
      <w:pPr>
        <w:pStyle w:val="CommentText"/>
      </w:pPr>
      <w:r>
        <w:rPr>
          <w:rStyle w:val="CommentReference"/>
        </w:rPr>
        <w:annotationRef/>
      </w:r>
      <w:r>
        <w:t>Good combo of stuff done and what is unique with our data. Probably worth doing</w:t>
      </w:r>
    </w:p>
  </w:comment>
  <w:comment w:id="3" w:author="Wesley Billings" w:date="2022-12-09T16:22:00Z" w:initials="WB">
    <w:p w14:paraId="040C1C61" w14:textId="77777777" w:rsidR="004600B7" w:rsidRDefault="004600B7" w:rsidP="001F7D23">
      <w:pPr>
        <w:pStyle w:val="CommentText"/>
      </w:pPr>
      <w:r>
        <w:rPr>
          <w:rStyle w:val="CommentReference"/>
        </w:rPr>
        <w:annotationRef/>
      </w:r>
      <w:r>
        <w:t>What is the exact question and knowledge gap we are trying to fill? And why is it important?</w:t>
      </w:r>
    </w:p>
  </w:comment>
  <w:comment w:id="14" w:author="Wesley Billings" w:date="2022-12-09T16:24:00Z" w:initials="WB">
    <w:p w14:paraId="36AB936F" w14:textId="77777777" w:rsidR="004600B7" w:rsidRDefault="004600B7" w:rsidP="000C315B">
      <w:pPr>
        <w:pStyle w:val="CommentText"/>
      </w:pPr>
      <w:r>
        <w:rPr>
          <w:rStyle w:val="CommentReference"/>
        </w:rPr>
        <w:annotationRef/>
      </w:r>
      <w:r>
        <w:t>Data is not that strong. Between lack of covariates and sparse sampling, maybe not that important.</w:t>
      </w:r>
    </w:p>
  </w:comment>
  <w:comment w:id="15" w:author="Wesley Billings" w:date="2022-12-09T16:24:00Z" w:initials="WB">
    <w:p w14:paraId="7F5643A2" w14:textId="77777777" w:rsidR="004600B7" w:rsidRDefault="004600B7" w:rsidP="005A00D7">
      <w:pPr>
        <w:pStyle w:val="CommentText"/>
      </w:pPr>
      <w:r>
        <w:rPr>
          <w:rStyle w:val="CommentReference"/>
        </w:rPr>
        <w:annotationRef/>
      </w:r>
      <w:r>
        <w:t>Not clear that this provides actionable insights</w:t>
      </w:r>
    </w:p>
  </w:comment>
  <w:comment w:id="16" w:author="Wesley Billings" w:date="2022-12-09T16:25:00Z" w:initials="WB">
    <w:p w14:paraId="7028976A" w14:textId="77777777" w:rsidR="004600B7" w:rsidRDefault="004600B7" w:rsidP="003D45DF">
      <w:pPr>
        <w:pStyle w:val="CommentText"/>
      </w:pPr>
      <w:r>
        <w:rPr>
          <w:rStyle w:val="CommentReference"/>
        </w:rPr>
        <w:annotationRef/>
      </w:r>
      <w:r>
        <w:t>Publishable, but probably lower impact</w:t>
      </w:r>
    </w:p>
  </w:comment>
  <w:comment w:id="25" w:author="Wesley Billings" w:date="2022-12-09T16:26:00Z" w:initials="WB">
    <w:p w14:paraId="0171FB09" w14:textId="77777777" w:rsidR="004600B7" w:rsidRDefault="004600B7" w:rsidP="00F515FF">
      <w:pPr>
        <w:pStyle w:val="CommentText"/>
      </w:pPr>
      <w:r>
        <w:rPr>
          <w:rStyle w:val="CommentReference"/>
        </w:rPr>
        <w:annotationRef/>
      </w:r>
      <w:r>
        <w:t>Our data, potentially Ben's data. Depends on what data we get and what we are trying to address.</w:t>
      </w:r>
    </w:p>
  </w:comment>
  <w:comment w:id="26" w:author="Wesley Billings" w:date="2022-12-09T16:27:00Z" w:initials="WB">
    <w:p w14:paraId="0BADF215" w14:textId="77777777" w:rsidR="004600B7" w:rsidRDefault="004600B7" w:rsidP="00840BD4">
      <w:pPr>
        <w:pStyle w:val="CommentText"/>
      </w:pPr>
      <w:r>
        <w:rPr>
          <w:rStyle w:val="CommentReference"/>
        </w:rPr>
        <w:annotationRef/>
      </w:r>
      <w:r>
        <w:t>Interactions b/t host characteristics and vaccine types could be interesting</w:t>
      </w:r>
    </w:p>
  </w:comment>
  <w:comment w:id="27" w:author="Wesley Billings" w:date="2022-12-09T16:29:00Z" w:initials="WB">
    <w:p w14:paraId="0B6BDB8A" w14:textId="77777777" w:rsidR="004600B7" w:rsidRDefault="004600B7" w:rsidP="00367BB6">
      <w:pPr>
        <w:pStyle w:val="CommentText"/>
      </w:pPr>
      <w:r>
        <w:rPr>
          <w:rStyle w:val="CommentReference"/>
        </w:rPr>
        <w:annotationRef/>
      </w:r>
      <w:r>
        <w:t>Paul's papers on human genetic background and responses to infection -- does this match with what we would see for vaccination?</w:t>
      </w:r>
    </w:p>
  </w:comment>
  <w:comment w:id="38" w:author="Wesley Billings" w:date="2022-12-09T16:33:00Z" w:initials="WB">
    <w:p w14:paraId="6ADB116A" w14:textId="77777777" w:rsidR="00E3728D" w:rsidRDefault="00E3728D" w:rsidP="00633D32">
      <w:pPr>
        <w:pStyle w:val="CommentText"/>
      </w:pPr>
      <w:r>
        <w:rPr>
          <w:rStyle w:val="CommentReference"/>
        </w:rPr>
        <w:annotationRef/>
      </w:r>
      <w:r>
        <w:t>If it is just clustering, probably not interesting because it is not actionable.</w:t>
      </w:r>
    </w:p>
  </w:comment>
  <w:comment w:id="39" w:author="Wesley Billings" w:date="2022-12-09T16:34:00Z" w:initials="WB">
    <w:p w14:paraId="092BCE7E" w14:textId="77777777" w:rsidR="00E3728D" w:rsidRDefault="00E3728D" w:rsidP="00D53533">
      <w:pPr>
        <w:pStyle w:val="CommentText"/>
      </w:pPr>
      <w:r>
        <w:rPr>
          <w:rStyle w:val="CommentReference"/>
        </w:rPr>
        <w:annotationRef/>
      </w:r>
      <w:r>
        <w:t>E.g. do people with higher intercept always have steeper slope?</w:t>
      </w:r>
    </w:p>
  </w:comment>
  <w:comment w:id="40" w:author="Wesley Billings" w:date="2022-12-09T16:34:00Z" w:initials="WB">
    <w:p w14:paraId="2005A3E3" w14:textId="77777777" w:rsidR="00E3728D" w:rsidRDefault="00E3728D" w:rsidP="0021633F">
      <w:pPr>
        <w:pStyle w:val="CommentText"/>
      </w:pPr>
      <w:r>
        <w:rPr>
          <w:rStyle w:val="CommentReference"/>
        </w:rPr>
        <w:annotationRef/>
      </w:r>
      <w:r>
        <w:t>If we can identify patterns, do we see correlation with prevaccination ab levels and host characteristics?</w:t>
      </w:r>
    </w:p>
  </w:comment>
  <w:comment w:id="41" w:author="Wesley Billings" w:date="2022-12-09T16:35:00Z" w:initials="WB">
    <w:p w14:paraId="4811D2AB" w14:textId="77777777" w:rsidR="00E3728D" w:rsidRDefault="00E3728D" w:rsidP="00BD3FA3">
      <w:pPr>
        <w:pStyle w:val="CommentText"/>
      </w:pPr>
      <w:r>
        <w:rPr>
          <w:rStyle w:val="CommentReference"/>
        </w:rPr>
        <w:annotationRef/>
      </w:r>
      <w:r>
        <w:t>See John Tsang's non-antigenic specific immune states idea</w:t>
      </w:r>
    </w:p>
  </w:comment>
  <w:comment w:id="42" w:author="Wesley Billings" w:date="2022-12-09T16:39:00Z" w:initials="WB">
    <w:p w14:paraId="33C64A94" w14:textId="77777777" w:rsidR="00E3728D" w:rsidRDefault="00E3728D" w:rsidP="00B577C3">
      <w:pPr>
        <w:pStyle w:val="CommentText"/>
      </w:pPr>
      <w:r>
        <w:rPr>
          <w:rStyle w:val="CommentReference"/>
        </w:rPr>
        <w:annotationRef/>
      </w:r>
      <w:r>
        <w:t>Strain-specific analyses (e.g. aim 1) as opposed to summarizing across all strains (e.g. slope/intercept)</w:t>
      </w:r>
    </w:p>
  </w:comment>
  <w:comment w:id="49" w:author="Wesley Billings" w:date="2022-12-09T16:41:00Z" w:initials="WB">
    <w:p w14:paraId="557E5464" w14:textId="77777777" w:rsidR="00E3728D" w:rsidRDefault="00E3728D" w:rsidP="00933258">
      <w:pPr>
        <w:pStyle w:val="CommentText"/>
      </w:pPr>
      <w:r>
        <w:rPr>
          <w:rStyle w:val="CommentReference"/>
        </w:rPr>
        <w:annotationRef/>
      </w:r>
      <w:r>
        <w:t>So what? And it depends.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4F757" w15:done="0"/>
  <w15:commentEx w15:paraId="040C1C61" w15:paraIdParent="0284F757" w15:done="0"/>
  <w15:commentEx w15:paraId="36AB936F" w15:done="0"/>
  <w15:commentEx w15:paraId="7F5643A2" w15:paraIdParent="36AB936F" w15:done="0"/>
  <w15:commentEx w15:paraId="7028976A" w15:paraIdParent="36AB936F" w15:done="0"/>
  <w15:commentEx w15:paraId="0171FB09" w15:done="0"/>
  <w15:commentEx w15:paraId="0BADF215" w15:paraIdParent="0171FB09" w15:done="0"/>
  <w15:commentEx w15:paraId="0B6BDB8A" w15:paraIdParent="0171FB09" w15:done="0"/>
  <w15:commentEx w15:paraId="6ADB116A" w15:done="0"/>
  <w15:commentEx w15:paraId="092BCE7E" w15:paraIdParent="6ADB116A" w15:done="0"/>
  <w15:commentEx w15:paraId="2005A3E3" w15:paraIdParent="6ADB116A" w15:done="0"/>
  <w15:commentEx w15:paraId="4811D2AB" w15:paraIdParent="6ADB116A" w15:done="0"/>
  <w15:commentEx w15:paraId="33C64A94" w15:paraIdParent="6ADB116A" w15:done="0"/>
  <w15:commentEx w15:paraId="557E5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DF30" w16cex:dateUtc="2022-12-09T21:22:00Z"/>
  <w16cex:commentExtensible w16cex:durableId="273DDF54" w16cex:dateUtc="2022-12-09T21:22:00Z"/>
  <w16cex:commentExtensible w16cex:durableId="273DDFA4" w16cex:dateUtc="2022-12-09T21:24:00Z"/>
  <w16cex:commentExtensible w16cex:durableId="273DDFC8" w16cex:dateUtc="2022-12-09T21:24:00Z"/>
  <w16cex:commentExtensible w16cex:durableId="273DDFDE" w16cex:dateUtc="2022-12-09T21:25:00Z"/>
  <w16cex:commentExtensible w16cex:durableId="273DE045" w16cex:dateUtc="2022-12-09T21:26:00Z"/>
  <w16cex:commentExtensible w16cex:durableId="273DE080" w16cex:dateUtc="2022-12-09T21:27:00Z"/>
  <w16cex:commentExtensible w16cex:durableId="273DE0EB" w16cex:dateUtc="2022-12-09T21:29:00Z"/>
  <w16cex:commentExtensible w16cex:durableId="273DE1E6" w16cex:dateUtc="2022-12-09T21:33:00Z"/>
  <w16cex:commentExtensible w16cex:durableId="273DE205" w16cex:dateUtc="2022-12-09T21:34:00Z"/>
  <w16cex:commentExtensible w16cex:durableId="273DE230" w16cex:dateUtc="2022-12-09T21:34:00Z"/>
  <w16cex:commentExtensible w16cex:durableId="273DE23C" w16cex:dateUtc="2022-12-09T21:35:00Z"/>
  <w16cex:commentExtensible w16cex:durableId="273DE338" w16cex:dateUtc="2022-12-09T21:39:00Z"/>
  <w16cex:commentExtensible w16cex:durableId="273DE3CF" w16cex:dateUtc="2022-12-09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4F757" w16cid:durableId="273DDF30"/>
  <w16cid:commentId w16cid:paraId="040C1C61" w16cid:durableId="273DDF54"/>
  <w16cid:commentId w16cid:paraId="36AB936F" w16cid:durableId="273DDFA4"/>
  <w16cid:commentId w16cid:paraId="7F5643A2" w16cid:durableId="273DDFC8"/>
  <w16cid:commentId w16cid:paraId="7028976A" w16cid:durableId="273DDFDE"/>
  <w16cid:commentId w16cid:paraId="0171FB09" w16cid:durableId="273DE045"/>
  <w16cid:commentId w16cid:paraId="0BADF215" w16cid:durableId="273DE080"/>
  <w16cid:commentId w16cid:paraId="0B6BDB8A" w16cid:durableId="273DE0EB"/>
  <w16cid:commentId w16cid:paraId="6ADB116A" w16cid:durableId="273DE1E6"/>
  <w16cid:commentId w16cid:paraId="092BCE7E" w16cid:durableId="273DE205"/>
  <w16cid:commentId w16cid:paraId="2005A3E3" w16cid:durableId="273DE230"/>
  <w16cid:commentId w16cid:paraId="4811D2AB" w16cid:durableId="273DE23C"/>
  <w16cid:commentId w16cid:paraId="33C64A94" w16cid:durableId="273DE338"/>
  <w16cid:commentId w16cid:paraId="557E5464" w16cid:durableId="273DE3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CAA4" w14:textId="77777777" w:rsidR="00664634" w:rsidRDefault="00664634">
      <w:pPr>
        <w:spacing w:after="0"/>
      </w:pPr>
      <w:r>
        <w:separator/>
      </w:r>
    </w:p>
  </w:endnote>
  <w:endnote w:type="continuationSeparator" w:id="0">
    <w:p w14:paraId="5435AE22" w14:textId="77777777" w:rsidR="00664634" w:rsidRDefault="00664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79869" w14:textId="77777777" w:rsidR="00664634" w:rsidRDefault="00664634">
      <w:r>
        <w:separator/>
      </w:r>
    </w:p>
  </w:footnote>
  <w:footnote w:type="continuationSeparator" w:id="0">
    <w:p w14:paraId="522BBA60" w14:textId="77777777" w:rsidR="00664634" w:rsidRDefault="00664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501F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2428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67776265">
    <w:abstractNumId w:val="0"/>
  </w:num>
  <w:num w:numId="2" w16cid:durableId="1549296612">
    <w:abstractNumId w:val="1"/>
  </w:num>
  <w:num w:numId="3" w16cid:durableId="819345454">
    <w:abstractNumId w:val="1"/>
  </w:num>
  <w:num w:numId="4" w16cid:durableId="1362507890">
    <w:abstractNumId w:val="1"/>
  </w:num>
  <w:num w:numId="5" w16cid:durableId="704254151">
    <w:abstractNumId w:val="1"/>
  </w:num>
  <w:num w:numId="6" w16cid:durableId="1788621582">
    <w:abstractNumId w:val="1"/>
  </w:num>
  <w:num w:numId="7" w16cid:durableId="1198348222">
    <w:abstractNumId w:val="1"/>
  </w:num>
  <w:num w:numId="8" w16cid:durableId="320622898">
    <w:abstractNumId w:val="1"/>
  </w:num>
  <w:num w:numId="9" w16cid:durableId="1274557534">
    <w:abstractNumId w:val="1"/>
  </w:num>
  <w:num w:numId="10" w16cid:durableId="66771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ley Billings">
    <w15:presenceInfo w15:providerId="AD" w15:userId="S::wb12984@uga.edu::4ec70cba-514c-4d15-b31b-62c841b1ae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5A9F"/>
    <w:rsid w:val="0007667F"/>
    <w:rsid w:val="0040409F"/>
    <w:rsid w:val="004600B7"/>
    <w:rsid w:val="00664634"/>
    <w:rsid w:val="006E5A9F"/>
    <w:rsid w:val="00A54ABC"/>
    <w:rsid w:val="00E372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F011"/>
  <w15:docId w15:val="{0BE77ED3-93C7-47AA-AE2C-4576CBEC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40409F"/>
    <w:pPr>
      <w:spacing w:after="100"/>
    </w:pPr>
  </w:style>
  <w:style w:type="character" w:styleId="CommentReference">
    <w:name w:val="annotation reference"/>
    <w:basedOn w:val="DefaultParagraphFont"/>
    <w:semiHidden/>
    <w:unhideWhenUsed/>
    <w:rsid w:val="004600B7"/>
    <w:rPr>
      <w:sz w:val="16"/>
      <w:szCs w:val="16"/>
    </w:rPr>
  </w:style>
  <w:style w:type="paragraph" w:styleId="CommentText">
    <w:name w:val="annotation text"/>
    <w:basedOn w:val="Normal"/>
    <w:link w:val="CommentTextChar"/>
    <w:unhideWhenUsed/>
    <w:rsid w:val="004600B7"/>
    <w:rPr>
      <w:sz w:val="20"/>
      <w:szCs w:val="20"/>
    </w:rPr>
  </w:style>
  <w:style w:type="character" w:customStyle="1" w:styleId="CommentTextChar">
    <w:name w:val="Comment Text Char"/>
    <w:basedOn w:val="DefaultParagraphFont"/>
    <w:link w:val="CommentText"/>
    <w:rsid w:val="004600B7"/>
    <w:rPr>
      <w:sz w:val="20"/>
      <w:szCs w:val="20"/>
    </w:rPr>
  </w:style>
  <w:style w:type="paragraph" w:styleId="CommentSubject">
    <w:name w:val="annotation subject"/>
    <w:basedOn w:val="CommentText"/>
    <w:next w:val="CommentText"/>
    <w:link w:val="CommentSubjectChar"/>
    <w:semiHidden/>
    <w:unhideWhenUsed/>
    <w:rsid w:val="004600B7"/>
    <w:rPr>
      <w:b/>
      <w:bCs/>
    </w:rPr>
  </w:style>
  <w:style w:type="character" w:customStyle="1" w:styleId="CommentSubjectChar">
    <w:name w:val="Comment Subject Char"/>
    <w:basedOn w:val="CommentTextChar"/>
    <w:link w:val="CommentSubject"/>
    <w:semiHidden/>
    <w:rsid w:val="004600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oi.org/10.1371/journal.ppat.1005692"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google.com/document/d/1g_lcgxEuWJYpPRCdciDBF%20ruD2uiMxwiR74CI8lNzNZY/edit"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98/rstb.2014.0248"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tim.2021.05.009"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101/cshperspect.a040964"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28/JVI.00797-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15</Pages>
  <Words>4873</Words>
  <Characters>27683</Characters>
  <Application>Microsoft Office Word</Application>
  <DocSecurity>0</DocSecurity>
  <Lines>988</Lines>
  <Paragraphs>602</Paragraphs>
  <ScaleCrop>false</ScaleCrop>
  <HeadingPairs>
    <vt:vector size="2" baseType="variant">
      <vt:variant>
        <vt:lpstr>Title</vt:lpstr>
      </vt:variant>
      <vt:variant>
        <vt:i4>1</vt:i4>
      </vt:variant>
    </vt:vector>
  </HeadingPairs>
  <TitlesOfParts>
    <vt:vector size="1" baseType="lpstr">
      <vt:lpstr>Feasibility of proposed dissertation aims</vt:lpstr>
    </vt:vector>
  </TitlesOfParts>
  <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proposed dissertation aims</dc:title>
  <dc:creator>Zane Billings</dc:creator>
  <cp:keywords/>
  <cp:lastModifiedBy>Wesley Billings</cp:lastModifiedBy>
  <cp:revision>4</cp:revision>
  <dcterms:created xsi:type="dcterms:W3CDTF">2022-12-05T15:04:00Z</dcterms:created>
  <dcterms:modified xsi:type="dcterms:W3CDTF">2022-12-09T22:08:00Z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based on my dissertation ideas list. This is a compilation of exploratory data analyses with some writeup to determine if specific aims would be feasible for my dissertation.Our exploratory data analyses use vaccine cohort data collected by Ted Ross at the University of Georgia. Data are from the UGAFluVac cohort (2016 – present) as well as two previous studies conducted in Pennsylvania and Florida. All studies collected longitudinal responses to a seasonal influenza vaccine from an open cohort and took serum samples at the day of vaccination and 21 or 28 days post-vaccination. Serum samples were used for HAI assays against the vaccine strain as well as a panel of heterologous historical strains, with the panel being updated as the vaccine recommendations changed.If possible, we plan to incorporate additional data from several other studies, with data accessible as part of the DIVERsity grant collaboration.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uthor">
    <vt:lpwstr/>
  </property>
  <property fmtid="{D5CDD505-2E9C-101B-9397-08002B2CF9AE}" pid="7" name="date">
    <vt:lpwstr>2022-12-05</vt:lpwstr>
  </property>
  <property fmtid="{D5CDD505-2E9C-101B-9397-08002B2CF9AE}" pid="8" name="date-format">
    <vt:lpwstr>iso</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GrammarlyDocumentId">
    <vt:lpwstr>11474b37755ece05635cb0fe5985c9b5df978dd4c206a307d9b7a8b52a51b583</vt:lpwstr>
  </property>
</Properties>
</file>