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Material:</w:t>
      </w:r>
      <w:r>
        <w:t xml:space="preserve"> </w:t>
      </w:r>
      <w:r>
        <w:t xml:space="preserve">Comparing antigenic distance metrics for influenza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instructions"/>
    <w:p>
      <w:pPr>
        <w:pStyle w:val="Heading1"/>
      </w:pPr>
      <w:r>
        <w:t xml:space="preserve">1. Reproducibility Instructions</w:t>
      </w:r>
    </w:p>
    <w:p>
      <w:pPr>
        <w:pStyle w:val="FirstParagraph"/>
      </w:pPr>
      <w:r>
        <w:t xml:space="preserve">The analysis is organized as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From the repository root,</w:t>
      </w:r>
      <w:r>
        <w:t xml:space="preserve"> </w:t>
      </w:r>
      <w:r>
        <w:t xml:space="preserve">restore the project environment with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 </w:t>
      </w:r>
      <w:r>
        <w:t xml:space="preserve">if needed, then run the</w:t>
      </w:r>
      <w:r>
        <w:t xml:space="preserve"> </w:t>
      </w:r>
      <w:r>
        <w:t xml:space="preserve">pipeline with: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pipeline defaults to</w:t>
      </w:r>
      <w:r>
        <w:t xml:space="preserve"> </w:t>
      </w:r>
      <w:r>
        <w:rPr>
          <w:rStyle w:val="VerbatimChar"/>
        </w:rPr>
        <w:t xml:space="preserve">FLU_TARGETS_MODE=test</w:t>
      </w:r>
      <w:r>
        <w:t xml:space="preserve">, which uses reduced stochastic</w:t>
      </w:r>
      <w:r>
        <w:t xml:space="preserve"> </w:t>
      </w:r>
      <w:r>
        <w:t xml:space="preserve">settings for development checks. Publication-scale settings are selected by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FLU_TARGETS_MODE=full</w:t>
      </w:r>
      <w:r>
        <w:t xml:space="preserve"> </w:t>
      </w:r>
      <w:r>
        <w:t xml:space="preserve">before running the pipeline. The Mantel</w:t>
      </w:r>
      <w:r>
        <w:t xml:space="preserve"> </w:t>
      </w:r>
      <w:r>
        <w:t xml:space="preserve">correlation table in the main manuscript is generated from</w:t>
      </w:r>
      <w:r>
        <w:t xml:space="preserve"> </w:t>
      </w:r>
      <w:r>
        <w:rPr>
          <w:rStyle w:val="VerbatimChar"/>
        </w:rPr>
        <w:t xml:space="preserve">cophenetic_mantel_summary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results/Tables/distance-mantel-table.rds</w:t>
      </w:r>
      <w:r>
        <w:t xml:space="preserve">.</w:t>
      </w:r>
    </w:p>
    <w:bookmarkEnd w:id="20"/>
    <w:bookmarkStart w:id="22" w:name="tree-model-selection"/>
    <w:p>
      <w:pPr>
        <w:pStyle w:val="Heading1"/>
      </w:pPr>
      <w:r>
        <w:t xml:space="preserve">2. Tree Model Selection</w:t>
      </w:r>
    </w:p>
    <w:p>
      <w:pPr>
        <w:pStyle w:val="FirstParagraph"/>
      </w:pPr>
      <w:r>
        <w:t xml:space="preserve">For ML tree construction, the pipeline compares FLU-family amino-acid</w:t>
      </w:r>
      <w:r>
        <w:t xml:space="preserve"> </w:t>
      </w:r>
      <w:r>
        <w:t xml:space="preserve">substitution models</w:t>
      </w:r>
      <w:r>
        <w:t xml:space="preserve"> </w:t>
      </w:r>
      <w:r>
        <w:t xml:space="preserve">[1]</w:t>
      </w:r>
      <w:r>
        <w:t xml:space="preserve"> </w:t>
      </w:r>
      <w:r>
        <w:t xml:space="preserve">with and without invariant sites and discrete</w:t>
      </w:r>
      <w:r>
        <w:t xml:space="preserve"> </w:t>
      </w:r>
      <w:r>
        <w:t xml:space="preserve">gamma rate variation. In full mode, gamma category counts from 4 to 32 are</w:t>
      </w:r>
      <w:r>
        <w:t xml:space="preserve"> </w:t>
      </w:r>
      <w:r>
        <w:t xml:space="preserve">evaluated in increments of 4. Within each subtype, the lowest-AICc model is</w:t>
      </w:r>
      <w:r>
        <w:t xml:space="preserve"> </w:t>
      </w:r>
      <w:r>
        <w:t xml:space="preserve">identified</w:t>
      </w:r>
      <w:r>
        <w:t xml:space="preserve"> </w:t>
      </w:r>
      <w:r>
        <w:t xml:space="preserve">[2]</w:t>
      </w:r>
      <w:r>
        <w:t xml:space="preserve">. A common model is preferred for both subtypes</w:t>
      </w:r>
      <w:r>
        <w:t xml:space="preserve"> </w:t>
      </w:r>
      <w:r>
        <w:t xml:space="preserve">when its log-likelihood loss is no more than 10% relative to the</w:t>
      </w:r>
      <w:r>
        <w:t xml:space="preserve"> </w:t>
      </w:r>
      <w:r>
        <w:t xml:space="preserve">subtype-specific AICc-supported model. If no common model satisfies this</w:t>
      </w:r>
      <w:r>
        <w:t xml:space="preserve"> </w:t>
      </w:r>
      <w:r>
        <w:t xml:space="preserve">criterion, the pipeline uses subtype-specific models and the manuscript should</w:t>
      </w:r>
      <w:r>
        <w:t xml:space="preserve"> </w:t>
      </w:r>
      <w:r>
        <w:t xml:space="preserve">explicitly discuss why subtype-specific model choices were necessary.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tree-model-selecti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FLU-family model comparison and selected model rule for ML tree fitting. Test-mode results use reduced gamma-category settings and should be regenerated in full mode before final manuscript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74"/>
              <w:gridCol w:w="747"/>
              <w:gridCol w:w="1641"/>
              <w:gridCol w:w="309"/>
              <w:gridCol w:w="546"/>
              <w:gridCol w:w="511"/>
              <w:gridCol w:w="690"/>
              <w:gridCol w:w="493"/>
              <w:gridCol w:w="511"/>
              <w:gridCol w:w="1416"/>
              <w:gridCol w:w="793"/>
              <w:gridCol w:w="112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model_test_gamma_categories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logLik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AICcw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Log-likelihood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Best by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for ML tree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7156.5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-3473.8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146.5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7298.9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6225.5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6234.0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6401.3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6412.1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-3152.6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6389.0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163.5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6552.3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</w:tbl>
          <w:bookmarkEnd w:id="21"/>
        </w:tc>
      </w:tr>
    </w:tbl>
    <w:bookmarkEnd w:id="22"/>
    <w:bookmarkStart w:id="31" w:name="distance-matrix-comparison-details"/>
    <w:p>
      <w:pPr>
        <w:pStyle w:val="Heading1"/>
      </w:pPr>
      <w:r>
        <w:t xml:space="preserve">3. Distance-Matrix Comparison Details</w:t>
      </w:r>
    </w:p>
    <w:p>
      <w:pPr>
        <w:pStyle w:val="FirstParagraph"/>
      </w:pPr>
      <w:r>
        <w:t xml:space="preserve">The primary manuscript table reports Mantel correlations between ML-tree</w:t>
      </w:r>
      <w:r>
        <w:t xml:space="preserve"> </w:t>
      </w:r>
      <w:r>
        <w:t xml:space="preserve">cophenetic distance and each candidate distance metric. These tests use only</w:t>
      </w:r>
      <w:r>
        <w:t xml:space="preserve"> </w:t>
      </w:r>
      <w:r>
        <w:t xml:space="preserve">unique off-diagonal strain pairs. Duplicate symmetric distances and diagonal</w:t>
      </w:r>
      <w:r>
        <w:t xml:space="preserve"> </w:t>
      </w:r>
      <w:r>
        <w:t xml:space="preserve">self-comparisons are excluded before estimating the observed correlation,</w:t>
      </w:r>
      <w:r>
        <w:t xml:space="preserve"> </w:t>
      </w:r>
      <w:r>
        <w:t xml:space="preserve">Bayesian bootstrap interval, and matrix-permutation p-value.</w:t>
      </w:r>
    </w:p>
    <w:p>
      <w:pPr>
        <w:pStyle w:val="BodyText"/>
      </w:pPr>
      <w:r>
        <w:t xml:space="preserve">For the overall rows, permutation is stratified by subtype: H1N1 and H3N2 labels</w:t>
      </w:r>
      <w:r>
        <w:t xml:space="preserve"> </w:t>
      </w:r>
      <w:r>
        <w:t xml:space="preserve">are permuted within subtype, then the unique-pair vectors are concatenated for</w:t>
      </w:r>
      <w:r>
        <w:t xml:space="preserve"> </w:t>
      </w:r>
      <w:r>
        <w:t xml:space="preserve">the overall Mantel statistic. Bayesian bootstrap intervals are resampled over</w:t>
      </w:r>
      <w:r>
        <w:t xml:space="preserve"> </w:t>
      </w:r>
      <w:r>
        <w:t xml:space="preserve">strain units and are separate from the permutation p-values. We do not report</w:t>
      </w:r>
      <w:r>
        <w:t xml:space="preserve"> </w:t>
      </w:r>
      <w:r>
        <w:t xml:space="preserve">Bayesian-bootstrap tail probabilities as p-values because the permutation</w:t>
      </w:r>
      <w:r>
        <w:t xml:space="preserve"> </w:t>
      </w:r>
      <w:r>
        <w:t xml:space="preserve">p-values are the pre-specified apparent-sample test for matrix correspondence.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Mantel correlation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04"/>
              <w:gridCol w:w="697"/>
              <w:gridCol w:w="1073"/>
              <w:gridCol w:w="1258"/>
              <w:gridCol w:w="2196"/>
              <w:gridCol w:w="1343"/>
              <w:gridCol w:w="1189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2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antel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Main Mantel correlation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31"/>
              <w:gridCol w:w="795"/>
              <w:gridCol w:w="1831"/>
              <w:gridCol w:w="865"/>
              <w:gridCol w:w="1103"/>
              <w:gridCol w:w="1709"/>
              <w:gridCol w:w="122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(0.41, 0.68)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(0.88, 0.96)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(0.05, 0.55)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4"/>
        </w:tc>
      </w:tr>
    </w:tbl>
    <w:bookmarkStart w:id="28" w:name="subtype-contrast-analysis"/>
    <w:p>
      <w:pPr>
        <w:pStyle w:val="Heading2"/>
      </w:pPr>
      <w:r>
        <w:t xml:space="preserve">3.1 Subtype Contrast Analysis</w:t>
      </w:r>
    </w:p>
    <w:p>
      <w:pPr>
        <w:pStyle w:val="FirstParagraph"/>
      </w:pPr>
      <w:r>
        <w:t xml:space="preserve">For each distance metric, the primary subtype contrast is defined as the H3N2</w:t>
      </w:r>
      <w:r>
        <w:t xml:space="preserve"> </w:t>
      </w:r>
      <w:r>
        <w:t xml:space="preserve">Mantel correlation minus the H1N1 Mantel correlation. The Mantel correlations</w:t>
      </w:r>
      <w:r>
        <w:t xml:space="preserve"> </w:t>
      </w:r>
      <w:r>
        <w:t xml:space="preserve">use the same unique off-diagonal strain-pair representation as the main</w:t>
      </w:r>
      <w:r>
        <w:t xml:space="preserve"> </w:t>
      </w:r>
      <w:r>
        <w:t xml:space="preserve">distance-matrix table. Uncertainty is estimated with a Bayesian bootstrap over</w:t>
      </w:r>
      <w:r>
        <w:t xml:space="preserve"> </w:t>
      </w:r>
      <w:r>
        <w:t xml:space="preserve">strain units</w:t>
      </w:r>
      <w:r>
        <w:t xml:space="preserve"> </w:t>
      </w:r>
      <w:r>
        <w:t xml:space="preserve">[3]</w:t>
      </w:r>
      <w:r>
        <w:t xml:space="preserve">. Within each bootstrap draw, strain weights are</w:t>
      </w:r>
      <w:r>
        <w:t xml:space="preserve"> </w:t>
      </w:r>
      <w:r>
        <w:t xml:space="preserve">normalized separately within H1N1 and H3N2, pair weights are calculated as the</w:t>
      </w:r>
      <w:r>
        <w:t xml:space="preserve"> </w:t>
      </w:r>
      <w:r>
        <w:t xml:space="preserve">product of the two endpoint strain weights, and the weighted H3N2-minus-H1N1</w:t>
      </w:r>
      <w:r>
        <w:t xml:space="preserve"> </w:t>
      </w:r>
      <w:r>
        <w:t xml:space="preserve">contrast is recomputed.</w:t>
      </w:r>
    </w:p>
    <w:p>
      <w:pPr>
        <w:pStyle w:val="BodyText"/>
      </w:pPr>
      <w:r>
        <w:t xml:space="preserve">The primary contrast answers a strain-sampling question: how uncertain is the</w:t>
      </w:r>
      <w:r>
        <w:t xml:space="preserve"> </w:t>
      </w:r>
      <w:r>
        <w:t xml:space="preserve">observed subtype difference if the strains are treated as sampled units from a</w:t>
      </w:r>
      <w:r>
        <w:t xml:space="preserve"> </w:t>
      </w:r>
      <w:r>
        <w:t xml:space="preserve">broader strain universe? We also report two sensitivity analyses that answer</w:t>
      </w:r>
      <w:r>
        <w:t xml:space="preserve"> </w:t>
      </w:r>
      <w:r>
        <w:t xml:space="preserve">different questions. The Fisher-z approximation</w:t>
      </w:r>
      <w:r>
        <w:t xml:space="preserve"> </w:t>
      </w:r>
      <w:r>
        <w:t xml:space="preserve">[4]</w:t>
      </w:r>
      <w:r>
        <w:t xml:space="preserve"> </w:t>
      </w:r>
      <w:r>
        <w:t xml:space="preserve">treats the</w:t>
      </w:r>
      <w:r>
        <w:t xml:space="preserve"> </w:t>
      </w:r>
      <w:r>
        <w:t xml:space="preserve">unique strain pairs as independent observations, so it is expected to be</w:t>
      </w:r>
      <w:r>
        <w:t xml:space="preserve"> </w:t>
      </w:r>
      <w:r>
        <w:t xml:space="preserve">overconfident because each strain contributes to many pairs. The independent</w:t>
      </w:r>
      <w:r>
        <w:t xml:space="preserve"> </w:t>
      </w:r>
      <w:r>
        <w:t xml:space="preserve">Mantel permutation contrast permutes matrix labels within each subtype and</w:t>
      </w:r>
      <w:r>
        <w:t xml:space="preserve"> </w:t>
      </w:r>
      <w:r>
        <w:t xml:space="preserve">compares the observed contrast against a joint no-association null; it is useful</w:t>
      </w:r>
      <w:r>
        <w:t xml:space="preserve"> </w:t>
      </w:r>
      <w:r>
        <w:t xml:space="preserve">as a matrix-aware sensitivity check, but it is not a direct test of equality</w:t>
      </w:r>
      <w:r>
        <w:t xml:space="preserve"> </w:t>
      </w:r>
      <w:r>
        <w:t xml:space="preserve">between subtype-specific Mantel correlations. Differences among these</w:t>
      </w:r>
      <w:r>
        <w:t xml:space="preserve"> </w:t>
      </w:r>
      <w:r>
        <w:t xml:space="preserve">summaries can therefore be driven by pairwise non-independence, different</w:t>
      </w:r>
      <w:r>
        <w:t xml:space="preserve"> </w:t>
      </w:r>
      <w:r>
        <w:t xml:space="preserve">effective sample sizes across subtypes, and the fact that the permutation</w:t>
      </w:r>
      <w:r>
        <w:t xml:space="preserve"> </w:t>
      </w:r>
      <w:r>
        <w:t xml:space="preserve">sensitivity asks a different null-hypothesis question than the bootstrap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In practice, the Fisher-z sensitivity should usually look more decisive than</w:t>
      </w:r>
      <w:r>
        <w:t xml:space="preserve"> </w:t>
      </w:r>
      <w:r>
        <w:t xml:space="preserve">the primary bootstrap interval because it uses the 153 H1N1 and 210 H3N2</w:t>
      </w:r>
      <w:r>
        <w:t xml:space="preserve"> </w:t>
      </w:r>
      <w:r>
        <w:t xml:space="preserve">pairwise distances as if they were independent observations. The permutation</w:t>
      </w:r>
      <w:r>
        <w:t xml:space="preserve"> </w:t>
      </w:r>
      <w:r>
        <w:t xml:space="preserve">sensitivity may also differ from the bootstrap interval: for example, it can</w:t>
      </w:r>
      <w:r>
        <w:t xml:space="preserve"> </w:t>
      </w:r>
      <w:r>
        <w:t xml:space="preserve">flag large temporal or cartographic contrasts against a no-association null</w:t>
      </w:r>
      <w:r>
        <w:t xml:space="preserve"> </w:t>
      </w:r>
      <w:r>
        <w:t xml:space="preserve">while not flagging smaller contrasts between two already-high subtype-specific</w:t>
      </w:r>
      <w:r>
        <w:t xml:space="preserve"> </w:t>
      </w:r>
      <w:r>
        <w:t xml:space="preserve">matrix associations.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subtype-contrast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Subtype contrast bootstrap settings. Seeds are row-specific so that each contrast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15"/>
              <w:gridCol w:w="1737"/>
              <w:gridCol w:w="3766"/>
              <w:gridCol w:w="164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20,374</w:t>
                  </w:r>
                </w:p>
              </w:tc>
            </w:tr>
          </w:tbl>
          <w:bookmarkEnd w:id="2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ubtype-contrast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Main subtype contrast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48"/>
              <w:gridCol w:w="1541"/>
              <w:gridCol w:w="1541"/>
              <w:gridCol w:w="895"/>
              <w:gridCol w:w="895"/>
              <w:gridCol w:w="1439"/>
              <w:gridCol w:w="823"/>
              <w:gridCol w:w="97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(0.53, 0.95)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(-0.15,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(0.19, 0.81)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</w:t>
                  </w:r>
                </w:p>
              </w:tc>
            </w:tr>
          </w:tbl>
          <w:bookmarkEnd w:id="2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btype-contrast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Sensitivity summaries for H3N2-minus-H1N1 subtype contrasts. These alternatives are included to show how the contrast behaves under simpler Fisher-z and matrix-permutation reference calculations; neither replaces the primary strain-bootstrap contrast interval.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92"/>
              <w:gridCol w:w="2587"/>
              <w:gridCol w:w="1721"/>
              <w:gridCol w:w="1284"/>
              <w:gridCol w:w="1277"/>
              <w:gridCol w:w="99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statistic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-8.09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</w:t>
                  </w:r>
                </w:p>
              </w:tc>
            </w:tr>
          </w:tbl>
          <w:bookmarkEnd w:id="27"/>
        </w:tc>
      </w:tr>
    </w:tbl>
    <w:bookmarkEnd w:id="28"/>
    <w:bookmarkStart w:id="30" w:name="descriptive-pearson-correlations"/>
    <w:p>
      <w:pPr>
        <w:pStyle w:val="Heading2"/>
      </w:pPr>
      <w:r>
        <w:t xml:space="preserve">3.2 Descriptive Pearson Correlations</w:t>
      </w:r>
    </w:p>
    <w:p>
      <w:pPr>
        <w:pStyle w:val="FirstParagraph"/>
      </w:pPr>
      <w:r>
        <w:t xml:space="preserve">The Pearson correlations in</w:t>
      </w:r>
      <w:r>
        <w:t xml:space="preserve"> </w:t>
      </w:r>
      <w:hyperlink w:anchor="tbl-pearson-correlation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descriptive summaries</w:t>
      </w:r>
      <w:r>
        <w:t xml:space="preserve"> </w:t>
      </w:r>
      <w:r>
        <w:t xml:space="preserve">of the same unique off-diagonal pair representation used for the Mantel</w:t>
      </w:r>
      <w:r>
        <w:t xml:space="preserve"> </w:t>
      </w:r>
      <w:r>
        <w:t xml:space="preserve">analysis. They are included to help interpret the approximate linear agreement</w:t>
      </w:r>
      <w:r>
        <w:t xml:space="preserve"> </w:t>
      </w:r>
      <w:r>
        <w:t xml:space="preserve">between distance scales, but they are not used as independent-observation</w:t>
      </w:r>
      <w:r>
        <w:t xml:space="preserve"> </w:t>
      </w:r>
      <w:r>
        <w:t xml:space="preserve">inference.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earso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Descriptive Pearson correlations between each distance metric and ML-tree cophenetic distance, overall and by subtype. Intervals are strain-level bootstrap intervals and should be interpreted descriptively.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621"/>
              <w:gridCol w:w="1138"/>
              <w:gridCol w:w="2621"/>
              <w:gridCol w:w="1402"/>
              <w:gridCol w:w="1578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(0.40, 0.67)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(0.30, 0.61)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(0.01, 0.61)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</w:tr>
          </w:tbl>
          <w:bookmarkEnd w:id="29"/>
        </w:tc>
      </w:tr>
    </w:tbl>
    <w:bookmarkEnd w:id="30"/>
    <w:bookmarkEnd w:id="31"/>
    <w:bookmarkStart w:id="33" w:name="supplemental-tree-topology-checks"/>
    <w:p>
      <w:pPr>
        <w:pStyle w:val="Heading1"/>
      </w:pPr>
      <w:r>
        <w:t xml:space="preserve">4. Supplemental Tree Topology Checks</w:t>
      </w:r>
    </w:p>
    <w:p>
      <w:pPr>
        <w:pStyle w:val="FirstParagraph"/>
      </w:pPr>
      <w:r>
        <w:t xml:space="preserve">The main manuscript reports delta log likelihood as the primary tree-comparison</w:t>
      </w:r>
      <w:r>
        <w:t xml:space="preserve"> </w:t>
      </w:r>
      <w:r>
        <w:t xml:space="preserve">metric, with SH p-values</w:t>
      </w:r>
      <w:r>
        <w:t xml:space="preserve"> </w:t>
      </w:r>
      <w:r>
        <w:t xml:space="preserve">[5]</w:t>
      </w:r>
      <w:r>
        <w:t xml:space="preserve"> </w:t>
      </w:r>
      <w:r>
        <w:t xml:space="preserve">and RF distance</w:t>
      </w:r>
      <w:r>
        <w:t xml:space="preserve"> </w:t>
      </w:r>
      <w:r>
        <w:t xml:space="preserve">[6]</w:t>
      </w:r>
      <w:r>
        <w:t xml:space="preserve"> </w:t>
      </w:r>
      <w:r>
        <w:t xml:space="preserve">as secondary checks. Additional</w:t>
      </w:r>
      <w:r>
        <w:t xml:space="preserve"> </w:t>
      </w:r>
      <w:r>
        <w:t xml:space="preserve">topology-distance summaries are reported here as sensitivity diagnostics rather</w:t>
      </w:r>
      <w:r>
        <w:t xml:space="preserve"> </w:t>
      </w:r>
      <w:r>
        <w:t xml:space="preserve">than primary evidence. These metrics are useful for checking whether the</w:t>
      </w:r>
      <w:r>
        <w:t xml:space="preserve"> </w:t>
      </w:r>
      <w:r>
        <w:t xml:space="preserve">likelihood ranking is accompanied by similar topology-distance patterns, but</w:t>
      </w:r>
      <w:r>
        <w:t xml:space="preserve"> </w:t>
      </w:r>
      <w:r>
        <w:t xml:space="preserve">they do not replace the likelihood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tree-topology-distanc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Supplemental topology-distance metrics between each distance-based neighbor-joining tree and the optimized ML tree.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13"/>
              <w:gridCol w:w="1704"/>
              <w:gridCol w:w="1164"/>
              <w:gridCol w:w="1058"/>
              <w:gridCol w:w="1720"/>
              <w:gridCol w:w="1736"/>
              <w:gridCol w:w="116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SPR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Path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52.58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13.86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47.33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16.37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17.49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64.45</w:t>
                  </w:r>
                </w:p>
              </w:tc>
            </w:tr>
          </w:tbl>
          <w:bookmarkEnd w:id="32"/>
        </w:tc>
      </w:tr>
    </w:tbl>
    <w:bookmarkEnd w:id="33"/>
    <w:bookmarkStart w:id="36" w:name="X9425d61a2535ee0cd3f8fc4233b412688b52bf0"/>
    <w:p>
      <w:pPr>
        <w:pStyle w:val="Heading1"/>
      </w:pPr>
      <w:r>
        <w:t xml:space="preserve">5. ML Tree Branch Support and Bootstrap Stability</w:t>
      </w:r>
    </w:p>
    <w:p>
      <w:pPr>
        <w:pStyle w:val="FirstParagraph"/>
      </w:pPr>
      <w:r>
        <w:t xml:space="preserve">To evaluate robustness of the optimized ML tree topologies themselves, the</w:t>
      </w:r>
      <w:r>
        <w:t xml:space="preserve"> </w:t>
      </w:r>
      <w:r>
        <w:t xml:space="preserve">pipeline performs nonparametric site-bootstrap resampling of the fitted ML</w:t>
      </w:r>
      <w:r>
        <w:t xml:space="preserve"> </w:t>
      </w:r>
      <w:r>
        <w:t xml:space="preserve">object for each subtype. Test mode uses reduced bootstrap settings for pipeline</w:t>
      </w:r>
      <w:r>
        <w:t xml:space="preserve"> </w:t>
      </w:r>
      <w:r>
        <w:t xml:space="preserve">checks, while full mode should be regenerated before interpreting these values</w:t>
      </w:r>
      <w:r>
        <w:t xml:space="preserve"> </w:t>
      </w:r>
      <w:r>
        <w:t xml:space="preserve">as publication evidence. The summary below reports branch-support and companion</w:t>
      </w:r>
      <w:r>
        <w:t xml:space="preserve"> </w:t>
      </w:r>
      <w:r>
        <w:t xml:space="preserve">topology-stability diagnostics. Branch support is the percentage of bootstrap</w:t>
      </w:r>
      <w:r>
        <w:t xml:space="preserve"> </w:t>
      </w:r>
      <w:r>
        <w:t xml:space="preserve">trees that recover each internal split in the optimized ML tree. The topology</w:t>
      </w:r>
      <w:r>
        <w:t xml:space="preserve"> </w:t>
      </w:r>
      <w:r>
        <w:t xml:space="preserve">stability summaries compare each bootstrap replicate tree with the optimized ML</w:t>
      </w:r>
      <w:r>
        <w:t xml:space="preserve"> </w:t>
      </w:r>
      <w:r>
        <w:t xml:space="preserve">tree using RF-style and related tree-distance metrics.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ml-tree-suppor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ML-tree branch support and bootstrap topology-stability summary. Test-mode values use reduced bootstrap replicates and should not be interpreted as final publication-scale robustness evidence.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9"/>
              <w:gridCol w:w="443"/>
              <w:gridCol w:w="397"/>
              <w:gridCol w:w="544"/>
              <w:gridCol w:w="576"/>
              <w:gridCol w:w="608"/>
              <w:gridCol w:w="395"/>
              <w:gridCol w:w="395"/>
              <w:gridCol w:w="395"/>
              <w:gridCol w:w="562"/>
              <w:gridCol w:w="558"/>
              <w:gridCol w:w="546"/>
              <w:gridCol w:w="659"/>
              <w:gridCol w:w="627"/>
              <w:gridCol w:w="703"/>
              <w:gridCol w:w="622"/>
              <w:gridCol w:w="631"/>
              <w:gridCol w:w="47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branches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Minimum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&gt;=70%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&gt;=95%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Usable topology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Topology distance failures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Identical topology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path distance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94.2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</w:tbl>
          <w:bookmarkEnd w:id="34"/>
        </w:tc>
      </w:tr>
    </w:tbl>
    <w:p>
      <w:pPr>
        <w:pStyle w:val="BodyText"/>
      </w:pPr>
      <w:r>
        <w:t xml:space="preserve">The node-level support table is included for auditability. Internal node</w:t>
      </w:r>
      <w:r>
        <w:t xml:space="preserve"> </w:t>
      </w:r>
      <w:r>
        <w:t xml:space="preserve">numbers refer to the unrooted ML tree object rather than named biological</w:t>
      </w:r>
      <w:r>
        <w:t xml:space="preserve"> </w:t>
      </w:r>
      <w:r>
        <w:t xml:space="preserve">clades; final clade-level interpretation should use the plotted tree and</w:t>
      </w:r>
      <w:r>
        <w:t xml:space="preserve"> </w:t>
      </w:r>
      <w:r>
        <w:t xml:space="preserve">full-mode support results together.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ml-branch-support-detai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10: Internal-node bootstrap support values for the optimized ML trees. Node identifiers refer to the underlying unrooted tree object.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0"/>
              <w:gridCol w:w="1642"/>
              <w:gridCol w:w="2282"/>
              <w:gridCol w:w="2234"/>
              <w:gridCol w:w="202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node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Support category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</w:tbl>
          <w:bookmarkEnd w:id="35"/>
        </w:tc>
      </w:tr>
    </w:tbl>
    <w:bookmarkEnd w:id="36"/>
    <w:bookmarkStart w:id="48" w:name="references"/>
    <w:p>
      <w:pPr>
        <w:pStyle w:val="Heading1"/>
      </w:pPr>
      <w:r>
        <w:t xml:space="preserve">6. References</w:t>
      </w:r>
    </w:p>
    <w:bookmarkStart w:id="47" w:name="refs"/>
    <w:bookmarkStart w:id="38" w:name="ref-dang2010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37">
        <w:r>
          <w:rPr>
            <w:rStyle w:val="Hyperlink"/>
          </w:rPr>
          <w:t xml:space="preserve">10.1186/1471-2148-10-99</w:t>
        </w:r>
      </w:hyperlink>
    </w:p>
    <w:bookmarkEnd w:id="38"/>
    <w:bookmarkStart w:id="39" w:name="ref-burnham2002model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39"/>
    <w:bookmarkStart w:id="41" w:name="ref-rubin198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40">
        <w:r>
          <w:rPr>
            <w:rStyle w:val="Hyperlink"/>
          </w:rPr>
          <w:t xml:space="preserve">10.1214/aos/1176345338</w:t>
        </w:r>
      </w:hyperlink>
    </w:p>
    <w:bookmarkEnd w:id="41"/>
    <w:bookmarkStart w:id="42" w:name="ref-fisher1921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Fisher RA. On the probable error of a coefficient of correlation deduced from a small sample. Metron. 1921;1: 3–32.</w:t>
      </w:r>
      <w:r>
        <w:t xml:space="preserve"> </w:t>
      </w:r>
    </w:p>
    <w:bookmarkEnd w:id="42"/>
    <w:bookmarkStart w:id="44" w:name="ref-shimodaira1999ShTest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43">
        <w:r>
          <w:rPr>
            <w:rStyle w:val="Hyperlink"/>
          </w:rPr>
          <w:t xml:space="preserve">10.1093/oxfordjournals.molbev.a026201</w:t>
        </w:r>
      </w:hyperlink>
    </w:p>
    <w:bookmarkEnd w:id="44"/>
    <w:bookmarkStart w:id="46" w:name="X8b6875512c705bb343382cbd274febad517fdf3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45">
        <w:r>
          <w:rPr>
            <w:rStyle w:val="Hyperlink"/>
          </w:rPr>
          <w:t xml:space="preserve">10.1016/0025-5564(81)90043-2</w:t>
        </w:r>
      </w:hyperlink>
    </w:p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doi.org/10.1016/0025-5564(81)90043-2" TargetMode="External" /><Relationship Type="http://schemas.openxmlformats.org/officeDocument/2006/relationships/hyperlink" Id="rId43" Target="https://doi.org/10.1093/oxfordjournals.molbev.a026201" TargetMode="External" /><Relationship Type="http://schemas.openxmlformats.org/officeDocument/2006/relationships/hyperlink" Id="rId37" Target="https://doi.org/10.1186/1471-2148-10-99" TargetMode="External" /><Relationship Type="http://schemas.openxmlformats.org/officeDocument/2006/relationships/hyperlink" Id="rId40" Target="https://doi.org/10.1214/aos/117634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oi.org/10.1016/0025-5564(81)90043-2" TargetMode="External" /><Relationship Type="http://schemas.openxmlformats.org/officeDocument/2006/relationships/hyperlink" Id="rId43" Target="https://doi.org/10.1093/oxfordjournals.molbev.a026201" TargetMode="External" /><Relationship Type="http://schemas.openxmlformats.org/officeDocument/2006/relationships/hyperlink" Id="rId37" Target="https://doi.org/10.1186/1471-2148-10-99" TargetMode="External" /><Relationship Type="http://schemas.openxmlformats.org/officeDocument/2006/relationships/hyperlink" Id="rId40" Target="https://doi.org/10.1214/aos/117634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Comparing antigenic distance metrics for influenza</dc:title>
  <dc:creator/>
  <dc:language>en-US</dc:language>
  <cp:keywords/>
  <dcterms:created xsi:type="dcterms:W3CDTF">2026-05-31T23:01:40Z</dcterms:created>
  <dcterms:modified xsi:type="dcterms:W3CDTF">2026-05-31T23:01:40Z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project-refs.bib</vt:lpwstr>
  </property>
  <property fmtid="{D5CDD505-2E9C-101B-9397-08002B2CF9AE}" pid="4" name="csl">
    <vt:lpwstr>plos-computational-biology.csl</vt:lpwstr>
  </property>
  <property fmtid="{D5CDD505-2E9C-101B-9397-08002B2CF9AE}" pid="5" name="editor_option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