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2026-06-05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1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hemagglutinin protein sequences. The strain panel was</w:t>
      </w:r>
      <w:r>
        <w:t xml:space="preserve"> </w:t>
      </w:r>
      <w:r>
        <w:t xml:space="preserve">expert-selected to span historical H1N1/H3N2 antigenic space while retaining</w:t>
      </w:r>
      <w:r>
        <w:t xml:space="preserve"> </w:t>
      </w:r>
      <w:r>
        <w:t xml:space="preserve">strains that could be linked to sequence data and the stored antigenic</w:t>
      </w:r>
      <w:r>
        <w:t xml:space="preserve"> </w:t>
      </w:r>
      <w:r>
        <w:t xml:space="preserve">cartography maps. We restricted the analysis panel to strains present in the</w:t>
      </w:r>
      <w:r>
        <w:t xml:space="preserve"> </w:t>
      </w:r>
      <w:r>
        <w:t xml:space="preserve">stored H1N1 or H3N2 antigenic cartography maps, because comparison with</w:t>
      </w:r>
      <w:r>
        <w:t xml:space="preserve"> </w:t>
      </w:r>
      <w:r>
        <w:t xml:space="preserve">cartographic distance is a central analysis objective. We used Racmacs to</w:t>
      </w:r>
      <w:r>
        <w:t xml:space="preserve"> </w:t>
      </w:r>
      <w:r>
        <w:t xml:space="preserve">compute antigenic cartography distances from the HAI data</w:t>
      </w:r>
      <w:r>
        <w:t xml:space="preserve"> </w:t>
      </w:r>
      <w:r>
        <w:t xml:space="preserve">[11]</w:t>
      </w:r>
      <w:r>
        <w:t xml:space="preserve">. The</w:t>
      </w:r>
      <w:r>
        <w:t xml:space="preserve"> </w:t>
      </w:r>
      <w:r>
        <w:t xml:space="preserve">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 were treated as first-pass cartography inputs; map</w:t>
      </w:r>
      <w:r>
        <w:t xml:space="preserve"> </w:t>
      </w:r>
      <w:r>
        <w:t xml:space="preserve">dimensionality, strain and serum counts, stored stress, and titer missingness</w:t>
      </w:r>
      <w:r>
        <w:t xml:space="preserve"> </w:t>
      </w:r>
      <w:r>
        <w:t xml:space="preserve">diagnostics are reported in the supplement. A separate manuscript is planned to</w:t>
      </w:r>
      <w:r>
        <w:t xml:space="preserve"> </w:t>
      </w:r>
      <w:r>
        <w:t xml:space="preserve">describe construction of the human-serum antigenic cartographies. Using the</w:t>
      </w:r>
      <w:r>
        <w:t xml:space="preserve"> </w:t>
      </w:r>
      <w:r>
        <w:t xml:space="preserve">same HAI dataset to build the maps and compare cartographic distances is a</w:t>
      </w:r>
      <w:r>
        <w:t xml:space="preserve"> </w:t>
      </w:r>
      <w:r>
        <w:t xml:space="preserve">limitation, but no comparable alternative is currently available for this</w:t>
      </w:r>
      <w:r>
        <w:t xml:space="preserve"> </w:t>
      </w:r>
      <w:r>
        <w:t xml:space="preserve">strain panel. All of our analyses were conducted separately for H1N1 and H3N2</w:t>
      </w:r>
      <w:r>
        <w:t xml:space="preserve"> </w:t>
      </w:r>
      <w:r>
        <w:t xml:space="preserve">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We evaluated</w:t>
      </w:r>
      <w:r>
        <w:t xml:space="preserve"> </w:t>
      </w:r>
      <w:r>
        <w:t xml:space="preserve">alignment sensitivity with alternative ClustalW and ClustalOmega protein</w:t>
      </w:r>
      <w:r>
        <w:t xml:space="preserve"> </w:t>
      </w:r>
      <w:r>
        <w:t xml:space="preserve">alignments in the supplement. For sequence-derived distances, aligned positions</w:t>
      </w:r>
      <w:r>
        <w:t xml:space="preserve"> </w:t>
      </w:r>
      <w:r>
        <w:t xml:space="preserve">containing gaps, ambiguous or missing residue codes, or non-standard</w:t>
      </w:r>
      <w:r>
        <w:t xml:space="preserve"> </w:t>
      </w:r>
      <w:r>
        <w:t xml:space="preserve">amino-acid codes were excluded from the relevant pair-specific denominator</w:t>
      </w:r>
      <w:r>
        <w:t xml:space="preserve"> </w:t>
      </w:r>
      <w:r>
        <w:t xml:space="preserve">rather than treated as zero-distance substitutions.</w:t>
      </w:r>
      <w:r>
        <w:t xml:space="preserve"> </w:t>
      </w:r>
      <w:r>
        <w:t xml:space="preserve">The source sequence table contains full-length</w:t>
      </w:r>
      <w:r>
        <w:t xml:space="preserve"> </w:t>
      </w:r>
      <w:r>
        <w:t xml:space="preserve">flags and accession/source metadata; after alignment, the pipeline checks</w:t>
      </w:r>
      <w:r>
        <w:t xml:space="preserve"> </w:t>
      </w:r>
      <w:r>
        <w:t xml:space="preserve">non-gap protein lengths against the subtype-specific full-length reference</w:t>
      </w:r>
      <w:r>
        <w:t xml:space="preserve"> </w:t>
      </w:r>
      <w:r>
        <w:t xml:space="preserve">rather than relying on strain-name exceptions. We had 18 H1N1 strains and 21</w:t>
      </w:r>
      <w:r>
        <w:t xml:space="preserve"> </w:t>
      </w:r>
      <w:r>
        <w:t xml:space="preserve">H3N2 strains in total (</w:t>
      </w:r>
      <w:hyperlink w:anchor="tbl-panel-summary">
        <w:r>
          <w:rPr>
            <w:rStyle w:val="Hyperlink"/>
          </w:rPr>
          <w:t xml:space="preserve">Table 1</w:t>
        </w:r>
      </w:hyperlink>
      <w:r>
        <w:t xml:space="preserve">). Fluzone vaccine-component status</w:t>
      </w:r>
      <w:r>
        <w:t xml:space="preserve"> </w:t>
      </w:r>
      <w:r>
        <w:t xml:space="preserve">is defined from the cohort-season vaccine-strain source reported in the</w:t>
      </w:r>
      <w:r>
        <w:t xml:space="preserve"> </w:t>
      </w:r>
      <w:r>
        <w:t xml:space="preserve">supplement. A full inclusion and provenance audit, including source rows</w:t>
      </w:r>
      <w:r>
        <w:t xml:space="preserve"> </w:t>
      </w:r>
      <w:r>
        <w:t xml:space="preserve">excluded because they were absent from the stored cartography maps,</w:t>
      </w:r>
      <w:r>
        <w:t xml:space="preserve"> </w:t>
      </w:r>
      <w:r>
        <w:t xml:space="preserve">source/accession fields, sequence completeness checks, vaccine-component</w:t>
      </w:r>
      <w:r>
        <w:t xml:space="preserve"> </w:t>
      </w:r>
      <w:r>
        <w:t xml:space="preserve">status, and pair counts, is reported in the supplement. We then used both protein alignments to construct maximum</w:t>
      </w:r>
      <w:r>
        <w:t xml:space="preserve"> </w:t>
      </w:r>
      <w:r>
        <w:t xml:space="preserve">likelihood (ML) unrooted phylogenetic trees using the FLU amino acid</w:t>
      </w:r>
      <w:r>
        <w:t xml:space="preserve"> </w:t>
      </w:r>
      <w:r>
        <w:t xml:space="preserve">substitution model</w:t>
      </w:r>
      <w:r>
        <w:t xml:space="preserve"> </w:t>
      </w:r>
      <w:r>
        <w:t xml:space="preserve">[13]</w:t>
      </w:r>
      <w:r>
        <w:t xml:space="preserve">. For each subtype, we</w:t>
      </w:r>
      <w:r>
        <w:t xml:space="preserve"> </w:t>
      </w:r>
      <w:r>
        <w:t xml:space="preserve">compared FLU-family models with and without invariant sites and discrete gamma</w:t>
      </w:r>
      <w:r>
        <w:t xml:space="preserve"> </w:t>
      </w:r>
      <w:r>
        <w:t xml:space="preserve">rate variation, evaluating gamma category counts from 4 to 32 in increments of</w:t>
      </w:r>
      <w:r>
        <w:t xml:space="preserve"> </w:t>
      </w:r>
      <w:r>
        <w:t xml:space="preserve">4 for the full analysis. Models were compared with AICc</w:t>
      </w:r>
      <w:r>
        <w:t xml:space="preserve"> </w:t>
      </w:r>
      <w:r>
        <w:t xml:space="preserve">[14,15]</w:t>
      </w:r>
      <w:r>
        <w:t xml:space="preserve">. We selected the AICc-supported model within</w:t>
      </w:r>
      <w:r>
        <w:t xml:space="preserve"> </w:t>
      </w:r>
      <w:r>
        <w:t xml:space="preserve">each subtype, but preferred a common model for both subtypes when the common</w:t>
      </w:r>
      <w:r>
        <w:t xml:space="preserve"> </w:t>
      </w:r>
      <w:r>
        <w:t xml:space="preserve">model’s log-likelihood loss was no more than 10% relative to the</w:t>
      </w:r>
      <w:r>
        <w:t xml:space="preserve"> </w:t>
      </w:r>
      <w:r>
        <w:t xml:space="preserve">subtype-specific AICc-supported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[16,17]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All distance-matrix associations and distance-tree analyses used raw distance</w:t>
      </w:r>
      <w:r>
        <w:t xml:space="preserve"> </w:t>
      </w:r>
      <w:r>
        <w:t xml:space="preserve">values unless explicitly labeled as normalized. We used min-max normalization</w:t>
      </w:r>
      <w:r>
        <w:t xml:space="preserve"> </w:t>
      </w:r>
      <w:r>
        <w:t xml:space="preserve">only for labeled visual or audit outputs where metrics with different units</w:t>
      </w:r>
      <w:r>
        <w:t xml:space="preserve"> </w:t>
      </w:r>
      <w:r>
        <w:t xml:space="preserve">needed to be displayed on a common 0–1 scale.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</w:t>
      </w:r>
      <w:r>
        <w:t xml:space="preserve"> </w:t>
      </w:r>
      <w:r>
        <w:t xml:space="preserve">[18]</w:t>
      </w:r>
      <w:r>
        <w:t xml:space="preserve">. To quantify subtype differences,</w:t>
      </w:r>
      <w:r>
        <w:t xml:space="preserve"> </w:t>
      </w:r>
      <w:r>
        <w:t xml:space="preserve">we subtracted the H1N1 Mantel correlation from the H3N2 Mantel correlation for</w:t>
      </w:r>
      <w:r>
        <w:t xml:space="preserve"> </w:t>
      </w:r>
      <w:r>
        <w:t xml:space="preserve">each distance metric, with uncertainty estimated by the same strain-level</w:t>
      </w:r>
      <w:r>
        <w:t xml:space="preserve"> </w:t>
      </w:r>
      <w:r>
        <w:t xml:space="preserve">Bayesian bootstrap. Descriptive Pearson correlations using the same unique</w:t>
      </w:r>
      <w:r>
        <w:t xml:space="preserve"> </w:t>
      </w:r>
      <w:r>
        <w:t xml:space="preserve">off-diagonal pair representation are reported in the supplement for</w:t>
      </w:r>
      <w:r>
        <w:t xml:space="preserve"> </w:t>
      </w:r>
      <w:r>
        <w:t xml:space="preserve">interpretability. Rank-based Spearman Mantel and descriptive Spearman</w:t>
      </w:r>
      <w:r>
        <w:t xml:space="preserve"> </w:t>
      </w:r>
      <w:r>
        <w:t xml:space="preserve">correlations are also reported in the supplement as sensitivity analyses for</w:t>
      </w:r>
      <w:r>
        <w:t xml:space="preserve"> </w:t>
      </w:r>
      <w:r>
        <w:t xml:space="preserve">monotonic but nonlinear relationships, not as replacements for the primary</w:t>
      </w:r>
      <w:r>
        <w:t xml:space="preserve"> </w:t>
      </w:r>
      <w:r>
        <w:t xml:space="preserve">Mantel estimand.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</w:t>
      </w:r>
      <w:r>
        <w:t xml:space="preserve"> </w:t>
      </w:r>
      <w:r>
        <w:t xml:space="preserve">[19]</w:t>
      </w:r>
      <w:r>
        <w:t xml:space="preserve">. To compare the methods, we</w:t>
      </w:r>
      <w:r>
        <w:t xml:space="preserve"> </w:t>
      </w:r>
      <w:r>
        <w:t xml:space="preserve">calculated the likelihood of each distance-based tree under the selected ML</w:t>
      </w:r>
      <w:r>
        <w:t xml:space="preserve"> </w:t>
      </w:r>
      <w:r>
        <w:t xml:space="preserve">model and treated the decrease in log likelihood from the ML tree as the primary</w:t>
      </w:r>
      <w:r>
        <w:t xml:space="preserve"> </w:t>
      </w:r>
      <w:r>
        <w:t xml:space="preserve">tree-comparison statistic. We did not use a standard likelihood-ratio test</w:t>
      </w:r>
      <w:r>
        <w:t xml:space="preserve"> </w:t>
      </w:r>
      <w:r>
        <w:t xml:space="preserve">because these fixed distance-tree topologies are not nested regular parametric</w:t>
      </w:r>
      <w:r>
        <w:t xml:space="preserve"> </w:t>
      </w:r>
      <w:r>
        <w:t xml:space="preserve">models relative to the optimized ML topology. As secondary checks, we estimated</w:t>
      </w:r>
      <w:r>
        <w:t xml:space="preserve"> </w:t>
      </w:r>
      <w:r>
        <w:t xml:space="preserve">Shimodaira-Hasegawa p-values</w:t>
      </w:r>
      <w:r>
        <w:t xml:space="preserve"> </w:t>
      </w:r>
      <w:r>
        <w:t xml:space="preserve">[20]</w:t>
      </w:r>
      <w:r>
        <w:t xml:space="preserve"> </w:t>
      </w:r>
      <w:r>
        <w:t xml:space="preserve">and computed</w:t>
      </w:r>
      <w:r>
        <w:t xml:space="preserve"> </w:t>
      </w:r>
      <w:r>
        <w:t xml:space="preserve">Robinson-Foulds distances</w:t>
      </w:r>
      <w:r>
        <w:t xml:space="preserve"> </w:t>
      </w:r>
      <w:r>
        <w:t xml:space="preserve">[21]</w:t>
      </w:r>
      <w:r>
        <w:t xml:space="preserve"> </w:t>
      </w:r>
      <w:r>
        <w:t xml:space="preserve">between</w:t>
      </w:r>
      <w:r>
        <w:t xml:space="preserve"> </w:t>
      </w:r>
      <w:r>
        <w:t xml:space="preserve">each distance tree and the ML tree. We also evaluated ML-tree robustness with</w:t>
      </w:r>
      <w:r>
        <w:t xml:space="preserve"> </w:t>
      </w:r>
      <w:r>
        <w:t xml:space="preserve">nonparametric site-bootstrap resampling of the fitted ML tree, reporting</w:t>
      </w:r>
      <w:r>
        <w:t xml:space="preserve"> </w:t>
      </w:r>
      <w:r>
        <w:t xml:space="preserve">internal-branch support and bootstrap topology-stability diagnostics in the</w:t>
      </w:r>
      <w:r>
        <w:t xml:space="preserve"> </w:t>
      </w:r>
      <w:r>
        <w:t xml:space="preserve">supplement.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[22]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[15]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[23]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ane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the expert-selected H1N1/H3N2 analysis panel. Vaccine component status is defined as inclusion as a Fluzone component during the cohort-study vaccine seasons.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18"/>
              <w:gridCol w:w="1952"/>
              <w:gridCol w:w="2575"/>
              <w:gridCol w:w="1633"/>
              <w:gridCol w:w="1499"/>
              <w:gridCol w:w="1414"/>
              <w:gridCol w:w="3052"/>
              <w:gridCol w:w="2588"/>
              <w:gridCol w:w="2624"/>
              <w:gridCol w:w="251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 isolation years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Earliest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Latest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 span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component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 methods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(16.7%)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1,968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(14.3%)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20"/>
        </w:tc>
      </w:tr>
    </w:tbl>
    <w:bookmarkEnd w:id="21"/>
    <w:bookmarkStart w:id="38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2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</w:t>
            </w:r>
            <w:r>
              <w:t xml:space="preserve"> </w:t>
            </w:r>
            <w:r>
              <w:t xml:space="preserve">Normalization is by metric across all displayed unique off-diagonal</w:t>
            </w:r>
            <w:r>
              <w:t xml:space="preserve"> </w:t>
            </w:r>
            <w:r>
              <w:t xml:space="preserve">strain pairs. Points are colored by subtype.</w:t>
            </w:r>
          </w:p>
          <w:bookmarkEnd w:id="2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6"/>
        </w:tc>
      </w:tr>
    </w:tbl>
    <w:p>
      <w:pPr>
        <w:pStyle w:val="BodyText"/>
      </w:pPr>
      <w:r>
        <w:t xml:space="preserve">Subtype contrasts quantify these patterns directly (</w:t>
      </w:r>
      <w:hyperlink w:anchor="fig-subtype-contrasts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tbl-subtype-contrasts">
        <w:r>
          <w:rPr>
            <w:rStyle w:val="Hyperlink"/>
          </w:rPr>
          <w:t xml:space="preserve">Table 3</w:t>
        </w:r>
      </w:hyperlink>
      <w:r>
        <w:t xml:space="preserve">). Temporal distance and cartographic distance had larger</w:t>
      </w:r>
      <w:r>
        <w:t xml:space="preserve"> </w:t>
      </w:r>
      <w:r>
        <w:t xml:space="preserve">H3N2-than-H1N1 Mantel correlations in this strain panel, while the</w:t>
      </w:r>
      <w:r>
        <w:t xml:space="preserve"> </w:t>
      </w:r>
      <w:r>
        <w:t xml:space="preserve">sequence-derived contrasts were smaller.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btype-contrast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subtype-mantel-contrast-plo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Subtype contrasts in Mantel correlation between each distance metric and</w:t>
            </w:r>
            <w:r>
              <w:t xml:space="preserve"> </w:t>
            </w:r>
            <w:r>
              <w:t xml:space="preserve">ML-tree cophenetic distance. Points are H3N2 minus H1N1 differences, with</w:t>
            </w:r>
            <w:r>
              <w:t xml:space="preserve"> </w:t>
            </w:r>
            <w:r>
              <w:t xml:space="preserve">95% Bayesian bootstrap intervals over strain units.</w:t>
            </w:r>
          </w:p>
          <w:bookmarkEnd w:id="3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ubtype-contra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H1N1 and H3N2 Mantel correlations and their subtype contrast for each distance metric. Differences are H3N2 minus H1N1. Intervals are Bayesian bootstrap 95% intervals over strain units.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3149"/>
              <w:gridCol w:w="3149"/>
              <w:gridCol w:w="1829"/>
              <w:gridCol w:w="1829"/>
              <w:gridCol w:w="2941"/>
              <w:gridCol w:w="1682"/>
              <w:gridCol w:w="200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31"/>
        </w:tc>
      </w:tr>
    </w:tbl>
    <w:bookmarkStart w:id="37" w:name="sensitivity-analyses"/>
    <w:p>
      <w:pPr>
        <w:pStyle w:val="Heading2"/>
      </w:pPr>
      <w:r>
        <w:t xml:space="preserve">Sensitivity analyses</w:t>
      </w:r>
    </w:p>
    <w:p>
      <w:pPr>
        <w:pStyle w:val="FirstParagraph"/>
      </w:pPr>
      <w:r>
        <w:t xml:space="preserve">We evaluated leave-one-strain-out influence by removing each strain within</w:t>
      </w:r>
      <w:r>
        <w:t xml:space="preserve"> </w:t>
      </w:r>
      <w:r>
        <w:t xml:space="preserve">subtype from the existing distance matrices and recomputing the Mantel</w:t>
      </w:r>
      <w:r>
        <w:t xml:space="preserve"> </w:t>
      </w:r>
      <w:r>
        <w:t xml:space="preserve">association between ML-tree cophenetic distance and each candidate distance</w:t>
      </w:r>
      <w:r>
        <w:t xml:space="preserve"> </w:t>
      </w:r>
      <w:r>
        <w:t xml:space="preserve">metric. This sensitivity analysis flags removals that change the correlation by</w:t>
      </w:r>
      <w:r>
        <w:t xml:space="preserve"> </w:t>
      </w:r>
      <w:r>
        <w:t xml:space="preserve">at least 0.10 absolute correlation units and is reported in the supplement. The</w:t>
      </w:r>
      <w:r>
        <w:t xml:space="preserve"> </w:t>
      </w:r>
      <w:r>
        <w:t xml:space="preserve">analysis is intended to diagnose whether subtype-specific distance-matrix</w:t>
      </w:r>
      <w:r>
        <w:t xml:space="preserve"> </w:t>
      </w:r>
      <w:r>
        <w:t xml:space="preserve">associations are driven by individual strains; it does not refit the sequence</w:t>
      </w:r>
      <w:r>
        <w:t xml:space="preserve"> </w:t>
      </w:r>
      <w:r>
        <w:t xml:space="preserve">alignment, ML tree, or cartography map after each removal.</w:t>
      </w:r>
    </w:p>
    <w:p>
      <w:pPr>
        <w:pStyle w:val="BodyText"/>
      </w:pPr>
      <w:r>
        <w:t xml:space="preserve">We also evaluated sequence-completeness and missing-data assumptions directly.</w:t>
      </w:r>
      <w:r>
        <w:t xml:space="preserve"> </w:t>
      </w:r>
      <w:r>
        <w:t xml:space="preserve">This targeted audit identifies non-full-length included strains, compares the</w:t>
      </w:r>
      <w:r>
        <w:t xml:space="preserve"> </w:t>
      </w:r>
      <w:r>
        <w:t xml:space="preserve">existing matrix associations with associations after excluding non-full-length</w:t>
      </w:r>
      <w:r>
        <w:t xml:space="preserve"> </w:t>
      </w:r>
      <w:r>
        <w:t xml:space="preserve">strains, and compares the primary pairwise-deletion rule for sequence-derived</w:t>
      </w:r>
      <w:r>
        <w:t xml:space="preserve"> </w:t>
      </w:r>
      <w:r>
        <w:t xml:space="preserve">distances with a complete-deletion rule that removes non-comparable sites across</w:t>
      </w:r>
      <w:r>
        <w:t xml:space="preserve"> </w:t>
      </w:r>
      <w:r>
        <w:t xml:space="preserve">all included strains within subtype. These sensitivity outputs are reported in</w:t>
      </w:r>
      <w:r>
        <w:t xml:space="preserve"> </w:t>
      </w:r>
      <w:r>
        <w:t xml:space="preserve">the supplement and do not refit alignments, ML trees, or cartography maps. In</w:t>
      </w:r>
      <w:r>
        <w:t xml:space="preserve"> </w:t>
      </w:r>
      <w:r>
        <w:t xml:space="preserve">the current pipeline outputs, these targeted checks did not exceed the</w:t>
      </w:r>
      <w:r>
        <w:t xml:space="preserve"> </w:t>
      </w:r>
      <w:r>
        <w:t xml:space="preserve">prespecified 0.10 absolute-change flag threshold; full-mode outputs should be</w:t>
      </w:r>
      <w:r>
        <w:t xml:space="preserve"> </w:t>
      </w:r>
      <w:r>
        <w:t xml:space="preserve">reviewed before final publication-scale interpretation.</w:t>
      </w:r>
    </w:p>
    <w:p>
      <w:pPr>
        <w:pStyle w:val="BodyText"/>
      </w:pPr>
      <w:r>
        <w:t xml:space="preserve">Finally, we evaluated whether the matrix-association results for</w:t>
      </w:r>
      <w:r>
        <w:t xml:space="preserve"> </w:t>
      </w:r>
      <w:r>
        <w:t xml:space="preserve">sequence-derived distances depend on the primary MUSCLE amino-acid alignment.</w:t>
      </w:r>
      <w:r>
        <w:t xml:space="preserve"> </w:t>
      </w:r>
      <w:r>
        <w:t xml:space="preserve">This sensitivity analysis recomputes Grantham and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matrices under ClustalW and ClustalOmega alignments, then compares those</w:t>
      </w:r>
      <w:r>
        <w:t xml:space="preserve"> </w:t>
      </w:r>
      <w:r>
        <w:t xml:space="preserve">distance matrices with the existing primary ML-tree cophenetic distances. It</w:t>
      </w:r>
      <w:r>
        <w:t xml:space="preserve"> </w:t>
      </w:r>
      <w:r>
        <w:t xml:space="preserve">does not refit ML trees, distance-based trees, or cartography maps under the</w:t>
      </w:r>
      <w:r>
        <w:t xml:space="preserve"> </w:t>
      </w:r>
      <w:r>
        <w:t xml:space="preserve">alternative alignments. We also compare FLU-family model-test results across</w:t>
      </w:r>
      <w:r>
        <w:t xml:space="preserve"> </w:t>
      </w:r>
      <w:r>
        <w:t xml:space="preserve">alignments and flag cases where the primary selected model is no longer within</w:t>
      </w:r>
      <w:r>
        <w:t xml:space="preserve"> </w:t>
      </w:r>
      <w:r>
        <w:t xml:space="preserve">the approved model-performance tolerance. These outputs are reported in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We also computed supplementary secondary sequence-distance metrics: amino-acid</w:t>
      </w:r>
      <w:r>
        <w:t xml:space="preserve"> </w:t>
      </w:r>
      <w:r>
        <w:t xml:space="preserve">Hamming distance, normalized optimal string alignment distance,</w:t>
      </w:r>
      <w:r>
        <w:t xml:space="preserve"> </w:t>
      </w:r>
      <m:oMath>
        <m:r>
          <m:t>p</m:t>
        </m:r>
      </m:oMath>
      <w:r>
        <w:t xml:space="preserve">-all-epitope distance, and a BLOSUM62-derived dissimilarity. These metrics</w:t>
      </w:r>
      <w:r>
        <w:t xml:space="preserve"> </w:t>
      </w:r>
      <w:r>
        <w:t xml:space="preserve">are intended to complement, not replace, the primary temporal, Grantham,</w:t>
      </w:r>
      <w:r>
        <w:t xml:space="preserve"> </w:t>
      </w:r>
      <m:oMath>
        <m:r>
          <m:t>p</m:t>
        </m:r>
      </m:oMath>
      <w:r>
        <w:t xml:space="preserve">-Epitope, and cartographic comparisons. They are reported in the supplement</w:t>
      </w:r>
      <w:r>
        <w:t xml:space="preserve"> </w:t>
      </w:r>
      <w:r>
        <w:t xml:space="preserve">as sensitivity outputs only; because the current regenerated outputs use</w:t>
      </w:r>
      <w:r>
        <w:t xml:space="preserve"> </w:t>
      </w:r>
      <w:r>
        <w:t xml:space="preserve">test-mode settings, we do not interpret the secondary-metric results here.</w:t>
      </w:r>
      <w:r>
        <w:t xml:space="preserve"> </w:t>
      </w:r>
      <w:r>
        <w:t xml:space="preserve">Unless full-mode outputs show a major difference, these secondary distances</w:t>
      </w:r>
      <w:r>
        <w:t xml:space="preserve"> </w:t>
      </w:r>
      <w:r>
        <w:t xml:space="preserve">will not be used to build distance-based neighbor-joining trees.</w:t>
      </w:r>
    </w:p>
    <w:p>
      <w:pPr>
        <w:pStyle w:val="BodyText"/>
      </w:pPr>
      <w:r>
        <w:t xml:space="preserve">Rank-based Spearman Mantel and descriptive Spearman correlations are reported</w:t>
      </w:r>
      <w:r>
        <w:t xml:space="preserve"> </w:t>
      </w:r>
      <w:r>
        <w:t xml:space="preserve">in the supplement as monotonic-association sensitivity analyses. These outputs</w:t>
      </w:r>
      <w:r>
        <w:t xml:space="preserve"> </w:t>
      </w:r>
      <w:r>
        <w:t xml:space="preserve">are intended to check whether the primary distance-matrix patterns depend on</w:t>
      </w:r>
      <w:r>
        <w:t xml:space="preserve"> </w:t>
      </w:r>
      <w:r>
        <w:t xml:space="preserve">approximately linear relationships between distance scales; they are not used</w:t>
      </w:r>
      <w:r>
        <w:t xml:space="preserve"> </w:t>
      </w:r>
      <w:r>
        <w:t xml:space="preserve">to reinterpret the main results in this manuscript pass.</w:t>
      </w:r>
    </w:p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3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35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Instead, we summarize their likelihood support relative to the ML</w:t>
      </w:r>
      <w:r>
        <w:t xml:space="preserve"> </w:t>
      </w:r>
      <w:r>
        <w:t xml:space="preserve">tree, with SH p-values and RF distances as secondary checks</w:t>
      </w:r>
      <w:r>
        <w:t xml:space="preserve"> </w:t>
      </w:r>
      <w:r>
        <w:t xml:space="preserve">(</w:t>
      </w:r>
      <w:hyperlink w:anchor="tbl-tree-comparison">
        <w:r>
          <w:rPr>
            <w:rStyle w:val="Hyperlink"/>
          </w:rPr>
          <w:t xml:space="preserve">Table 4</w:t>
        </w:r>
      </w:hyperlink>
      <w:r>
        <w:t xml:space="preserve">). For the H1N1 strains, the temporal and cartographic</w:t>
      </w:r>
      <w:r>
        <w:t xml:space="preserve"> </w:t>
      </w:r>
      <w:r>
        <w:t xml:space="preserve">distance trees had larger decreases in log likelihood than the Grantham and</w:t>
      </w:r>
      <w:r>
        <w:t xml:space="preserve"> </w:t>
      </w:r>
      <m:oMath>
        <m:r>
          <m:t>p</m:t>
        </m:r>
      </m:oMath>
      <w:r>
        <w:t xml:space="preserve">-Epitope distance trees. For the H3N2 strains, the cartographic tree had the</w:t>
      </w:r>
      <w:r>
        <w:t xml:space="preserve"> </w:t>
      </w:r>
      <w:r>
        <w:t xml:space="preserve">largest likelihood decrease, while the temporal and Grantham distance trees</w:t>
      </w:r>
      <w:r>
        <w:t xml:space="preserve"> </w:t>
      </w:r>
      <w:r>
        <w:t xml:space="preserve">remained closer to the ML tree. The temporal distance tree was therefore much</w:t>
      </w:r>
      <w:r>
        <w:t xml:space="preserve"> </w:t>
      </w:r>
      <w:r>
        <w:t xml:space="preserve">less compatible with the sequence alignment for H1N1 than for H3N2, consistent</w:t>
      </w:r>
      <w:r>
        <w:t xml:space="preserve"> </w:t>
      </w:r>
      <w:r>
        <w:t xml:space="preserve">with the subtype-specific temporal patterns above. ML-tree branch support and</w:t>
      </w:r>
      <w:r>
        <w:t xml:space="preserve"> </w:t>
      </w:r>
      <w:r>
        <w:t xml:space="preserve">bootstrap topology-stability summaries are reported in the supplement as</w:t>
      </w:r>
      <w:r>
        <w:t xml:space="preserve"> </w:t>
      </w:r>
      <w:r>
        <w:t xml:space="preserve">robustness diagnostics; those values should be interpreted from full-mode</w:t>
      </w:r>
      <w:r>
        <w:t xml:space="preserve"> </w:t>
      </w:r>
      <w:r>
        <w:t xml:space="preserve">pipeline outputs rather than reduced test-mode runs.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ree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Distance-tree likelihood comparison against the optimized ML tree. Delta log likelihood is the decrease in log likelihood from the ML tree. SH p-values and RF distances are secondary topology checks.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16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1160.4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-4629.2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-3468.8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-3498.0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-3547.6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-3863.9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-3288.5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-3129.8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-3147.4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384.0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-3452.4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6"/>
        </w:tc>
      </w:tr>
    </w:tbl>
    <w:bookmarkEnd w:id="37"/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Because cartographic distance is based on observed immune</w:t>
      </w:r>
      <w:r>
        <w:t xml:space="preserve"> </w:t>
      </w:r>
      <w:r>
        <w:t xml:space="preserve">response data, this pattern is consistent with HAI-based cartography capturing</w:t>
      </w:r>
      <w:r>
        <w:t xml:space="preserve"> </w:t>
      </w:r>
      <w:r>
        <w:t xml:space="preserve">immune-response structure that is not fully explained by HA phylogenetic</w:t>
      </w:r>
      <w:r>
        <w:t xml:space="preserve"> </w:t>
      </w:r>
      <w:r>
        <w:t xml:space="preserve">distance in this panel. The selected panel spans historical H1N1/H3N2 antigenic</w:t>
      </w:r>
      <w:r>
        <w:t xml:space="preserve"> </w:t>
      </w:r>
      <w:r>
        <w:t xml:space="preserve">space and cohort-season Fluzone components, but it is not a representative</w:t>
      </w:r>
      <w:r>
        <w:t xml:space="preserve"> </w:t>
      </w:r>
      <w:r>
        <w:t xml:space="preserve">survey of all influenza strains, cohorts, or eras. Similar analyses should be</w:t>
      </w:r>
      <w:r>
        <w:t xml:space="preserve"> </w:t>
      </w:r>
      <w:r>
        <w:t xml:space="preserve">repeated on independent panels and other cohorts. Performing similar analyses</w:t>
      </w:r>
      <w:r>
        <w:t xml:space="preserve"> </w:t>
      </w:r>
      <w:r>
        <w:t xml:space="preserve">using neuraminidase sequence and inhibition data would complete our findings</w:t>
      </w:r>
      <w:r>
        <w:t xml:space="preserve"> </w:t>
      </w:r>
      <w:r>
        <w:t xml:space="preserve">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9"/>
    <w:bookmarkStart w:id="40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40"/>
    <w:bookmarkStart w:id="85" w:name="references"/>
    <w:p>
      <w:pPr>
        <w:pStyle w:val="Heading1"/>
      </w:pPr>
      <w:r>
        <w:t xml:space="preserve">References</w:t>
      </w:r>
    </w:p>
    <w:bookmarkStart w:id="84" w:name="refs"/>
    <w:bookmarkStart w:id="42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41">
        <w:r>
          <w:rPr>
            <w:rStyle w:val="Hyperlink"/>
          </w:rPr>
          <w:t xml:space="preserve">10.1089/vim.2017.0141</w:t>
        </w:r>
      </w:hyperlink>
    </w:p>
    <w:bookmarkEnd w:id="42"/>
    <w:bookmarkStart w:id="44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43">
        <w:r>
          <w:rPr>
            <w:rStyle w:val="Hyperlink"/>
          </w:rPr>
          <w:t xml:space="preserve">10.1093/infdis/jiy103</w:t>
        </w:r>
      </w:hyperlink>
    </w:p>
    <w:bookmarkEnd w:id="44"/>
    <w:bookmarkStart w:id="46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45">
        <w:r>
          <w:rPr>
            <w:rStyle w:val="Hyperlink"/>
          </w:rPr>
          <w:t xml:space="preserve">10.1371/journal.ppat.1008583</w:t>
        </w:r>
      </w:hyperlink>
    </w:p>
    <w:bookmarkEnd w:id="46"/>
    <w:bookmarkStart w:id="48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7">
        <w:r>
          <w:rPr>
            <w:rStyle w:val="Hyperlink"/>
          </w:rPr>
          <w:t xml:space="preserve">10.1128/CVI.00544-13</w:t>
        </w:r>
      </w:hyperlink>
    </w:p>
    <w:bookmarkEnd w:id="48"/>
    <w:bookmarkStart w:id="50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9">
        <w:r>
          <w:rPr>
            <w:rStyle w:val="Hyperlink"/>
          </w:rPr>
          <w:t xml:space="preserve">10.1126/science.185.4154.862</w:t>
        </w:r>
      </w:hyperlink>
    </w:p>
    <w:bookmarkEnd w:id="50"/>
    <w:bookmarkStart w:id="52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51">
        <w:r>
          <w:rPr>
            <w:rStyle w:val="Hyperlink"/>
          </w:rPr>
          <w:t xml:space="preserve">10.1016/j.vaccine.2006.01.010</w:t>
        </w:r>
      </w:hyperlink>
    </w:p>
    <w:bookmarkEnd w:id="52"/>
    <w:bookmarkStart w:id="54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53">
        <w:r>
          <w:rPr>
            <w:rStyle w:val="Hyperlink"/>
          </w:rPr>
          <w:t xml:space="preserve">10.1093/infdis/jiv367</w:t>
        </w:r>
      </w:hyperlink>
    </w:p>
    <w:bookmarkEnd w:id="54"/>
    <w:bookmarkStart w:id="56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55">
        <w:r>
          <w:rPr>
            <w:rStyle w:val="Hyperlink"/>
          </w:rPr>
          <w:t xml:space="preserve">10.1371/journal.pone.0185666</w:t>
        </w:r>
      </w:hyperlink>
    </w:p>
    <w:bookmarkEnd w:id="56"/>
    <w:bookmarkStart w:id="58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7">
        <w:r>
          <w:rPr>
            <w:rStyle w:val="Hyperlink"/>
          </w:rPr>
          <w:t xml:space="preserve">10.3389/fimmu.2020.00902</w:t>
        </w:r>
      </w:hyperlink>
    </w:p>
    <w:bookmarkEnd w:id="58"/>
    <w:bookmarkStart w:id="60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9">
        <w:r>
          <w:rPr>
            <w:rStyle w:val="Hyperlink"/>
          </w:rPr>
          <w:t xml:space="preserve">10.1038/s41591-022-01690-w</w:t>
        </w:r>
      </w:hyperlink>
    </w:p>
    <w:bookmarkEnd w:id="60"/>
    <w:bookmarkStart w:id="61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61"/>
    <w:bookmarkStart w:id="63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62">
        <w:r>
          <w:rPr>
            <w:rStyle w:val="Hyperlink"/>
          </w:rPr>
          <w:t xml:space="preserve">10.1186/1471-2105-5-113</w:t>
        </w:r>
      </w:hyperlink>
    </w:p>
    <w:bookmarkEnd w:id="63"/>
    <w:bookmarkStart w:id="65" w:name="ref-dang2010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64">
        <w:r>
          <w:rPr>
            <w:rStyle w:val="Hyperlink"/>
          </w:rPr>
          <w:t xml:space="preserve">10.1186/1471-2148-10-99</w:t>
        </w:r>
      </w:hyperlink>
    </w:p>
    <w:bookmarkEnd w:id="65"/>
    <w:bookmarkStart w:id="66" w:name="ref-burnham2002mod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6"/>
    <w:bookmarkStart w:id="68" w:name="ref-schliep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7">
        <w:r>
          <w:rPr>
            <w:rStyle w:val="Hyperlink"/>
          </w:rPr>
          <w:t xml:space="preserve">10.1093/bioinformatics/btq706</w:t>
        </w:r>
      </w:hyperlink>
    </w:p>
    <w:bookmarkEnd w:id="68"/>
    <w:bookmarkStart w:id="70" w:name="ref-legendre2010MantelAlternative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69">
        <w:r>
          <w:rPr>
            <w:rStyle w:val="Hyperlink"/>
          </w:rPr>
          <w:t xml:space="preserve">10.1111/j.1755-0998.2010.02866.x</w:t>
        </w:r>
      </w:hyperlink>
    </w:p>
    <w:bookmarkEnd w:id="70"/>
    <w:bookmarkStart w:id="72" w:name="ref-legendre2015ShouldMantel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71">
        <w:r>
          <w:rPr>
            <w:rStyle w:val="Hyperlink"/>
          </w:rPr>
          <w:t xml:space="preserve">10.1111/2041-210X.12425</w:t>
        </w:r>
      </w:hyperlink>
    </w:p>
    <w:bookmarkEnd w:id="72"/>
    <w:bookmarkStart w:id="74" w:name="ref-rubin198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3">
        <w:r>
          <w:rPr>
            <w:rStyle w:val="Hyperlink"/>
          </w:rPr>
          <w:t xml:space="preserve">10.1214/aos/1176345338</w:t>
        </w:r>
      </w:hyperlink>
    </w:p>
    <w:bookmarkEnd w:id="74"/>
    <w:bookmarkStart w:id="76" w:name="ref-saitou1987NeighborJoining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Saitou N, Nei M. The neighbor-joining method: A new method for reconstructing phylogenetic trees. Molecular Biology and Evolution. 1987;4: 406–425. doi:</w:t>
      </w:r>
      <w:hyperlink r:id="rId75">
        <w:r>
          <w:rPr>
            <w:rStyle w:val="Hyperlink"/>
          </w:rPr>
          <w:t xml:space="preserve">10.1093/oxfordjournals.molbev.a040454</w:t>
        </w:r>
      </w:hyperlink>
    </w:p>
    <w:bookmarkEnd w:id="76"/>
    <w:bookmarkStart w:id="78" w:name="ref-shimodaira1999ShTest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7">
        <w:r>
          <w:rPr>
            <w:rStyle w:val="Hyperlink"/>
          </w:rPr>
          <w:t xml:space="preserve">10.1093/oxfordjournals.molbev.a026201</w:t>
        </w:r>
      </w:hyperlink>
    </w:p>
    <w:bookmarkEnd w:id="78"/>
    <w:bookmarkStart w:id="80" w:name="X8b6875512c705bb343382cbd274febad517fdf3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79">
        <w:r>
          <w:rPr>
            <w:rStyle w:val="Hyperlink"/>
          </w:rPr>
          <w:t xml:space="preserve">10.1016/0025-5564(81)90043-2</w:t>
        </w:r>
      </w:hyperlink>
    </w:p>
    <w:bookmarkEnd w:id="80"/>
    <w:bookmarkStart w:id="81" w:name="ref-rcoreteam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81"/>
    <w:bookmarkStart w:id="83" w:name="ref-bodenhofer201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82">
        <w:r>
          <w:rPr>
            <w:rStyle w:val="Hyperlink"/>
          </w:rPr>
          <w:t xml:space="preserve">10.1093/bioinformatics/btv494</w:t>
        </w:r>
      </w:hyperlink>
    </w:p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hyperlink" Id="rId79" Target="https://doi.org/10.1016/0025-5564(81)90043-2" TargetMode="External" /><Relationship Type="http://schemas.openxmlformats.org/officeDocument/2006/relationships/hyperlink" Id="rId51" Target="https://doi.org/10.1016/j.vaccine.2006.01.010" TargetMode="External" /><Relationship Type="http://schemas.openxmlformats.org/officeDocument/2006/relationships/hyperlink" Id="rId59" Target="https://doi.org/10.1038/s41591-022-01690-w" TargetMode="External" /><Relationship Type="http://schemas.openxmlformats.org/officeDocument/2006/relationships/hyperlink" Id="rId41" Target="https://doi.org/10.1089/vim.2017.0141" TargetMode="External" /><Relationship Type="http://schemas.openxmlformats.org/officeDocument/2006/relationships/hyperlink" Id="rId67" Target="https://doi.org/10.1093/bioinformatics/btq706" TargetMode="External" /><Relationship Type="http://schemas.openxmlformats.org/officeDocument/2006/relationships/hyperlink" Id="rId82" Target="https://doi.org/10.1093/bioinformatics/btv494" TargetMode="External" /><Relationship Type="http://schemas.openxmlformats.org/officeDocument/2006/relationships/hyperlink" Id="rId53" Target="https://doi.org/10.1093/infdis/jiv367" TargetMode="External" /><Relationship Type="http://schemas.openxmlformats.org/officeDocument/2006/relationships/hyperlink" Id="rId43" Target="https://doi.org/10.1093/infdis/jiy103" TargetMode="External" /><Relationship Type="http://schemas.openxmlformats.org/officeDocument/2006/relationships/hyperlink" Id="rId77" Target="https://doi.org/10.1093/oxfordjournals.molbev.a026201" TargetMode="External" /><Relationship Type="http://schemas.openxmlformats.org/officeDocument/2006/relationships/hyperlink" Id="rId75" Target="https://doi.org/10.1093/oxfordjournals.molbev.a040454" TargetMode="External" /><Relationship Type="http://schemas.openxmlformats.org/officeDocument/2006/relationships/hyperlink" Id="rId71" Target="https://doi.org/10.1111/2041-210X.12425" TargetMode="External" /><Relationship Type="http://schemas.openxmlformats.org/officeDocument/2006/relationships/hyperlink" Id="rId69" Target="https://doi.org/10.1111/j.1755-0998.2010.02866.x" TargetMode="External" /><Relationship Type="http://schemas.openxmlformats.org/officeDocument/2006/relationships/hyperlink" Id="rId49" Target="https://doi.org/10.1126/science.185.4154.862" TargetMode="External" /><Relationship Type="http://schemas.openxmlformats.org/officeDocument/2006/relationships/hyperlink" Id="rId47" Target="https://doi.org/10.1128/CVI.00544-13" TargetMode="External" /><Relationship Type="http://schemas.openxmlformats.org/officeDocument/2006/relationships/hyperlink" Id="rId62" Target="https://doi.org/10.1186/1471-2105-5-113" TargetMode="External" /><Relationship Type="http://schemas.openxmlformats.org/officeDocument/2006/relationships/hyperlink" Id="rId64" Target="https://doi.org/10.1186/1471-2148-10-99" TargetMode="External" /><Relationship Type="http://schemas.openxmlformats.org/officeDocument/2006/relationships/hyperlink" Id="rId73" Target="https://doi.org/10.1214/aos/1176345338" TargetMode="External" /><Relationship Type="http://schemas.openxmlformats.org/officeDocument/2006/relationships/hyperlink" Id="rId55" Target="https://doi.org/10.1371/journal.pone.0185666" TargetMode="External" /><Relationship Type="http://schemas.openxmlformats.org/officeDocument/2006/relationships/hyperlink" Id="rId45" Target="https://doi.org/10.1371/journal.ppat.1008583" TargetMode="External" /><Relationship Type="http://schemas.openxmlformats.org/officeDocument/2006/relationships/hyperlink" Id="rId57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doi.org/10.1016/0025-5564(81)90043-2" TargetMode="External" /><Relationship Type="http://schemas.openxmlformats.org/officeDocument/2006/relationships/hyperlink" Id="rId51" Target="https://doi.org/10.1016/j.vaccine.2006.01.010" TargetMode="External" /><Relationship Type="http://schemas.openxmlformats.org/officeDocument/2006/relationships/hyperlink" Id="rId59" Target="https://doi.org/10.1038/s41591-022-01690-w" TargetMode="External" /><Relationship Type="http://schemas.openxmlformats.org/officeDocument/2006/relationships/hyperlink" Id="rId41" Target="https://doi.org/10.1089/vim.2017.0141" TargetMode="External" /><Relationship Type="http://schemas.openxmlformats.org/officeDocument/2006/relationships/hyperlink" Id="rId67" Target="https://doi.org/10.1093/bioinformatics/btq706" TargetMode="External" /><Relationship Type="http://schemas.openxmlformats.org/officeDocument/2006/relationships/hyperlink" Id="rId82" Target="https://doi.org/10.1093/bioinformatics/btv494" TargetMode="External" /><Relationship Type="http://schemas.openxmlformats.org/officeDocument/2006/relationships/hyperlink" Id="rId53" Target="https://doi.org/10.1093/infdis/jiv367" TargetMode="External" /><Relationship Type="http://schemas.openxmlformats.org/officeDocument/2006/relationships/hyperlink" Id="rId43" Target="https://doi.org/10.1093/infdis/jiy103" TargetMode="External" /><Relationship Type="http://schemas.openxmlformats.org/officeDocument/2006/relationships/hyperlink" Id="rId77" Target="https://doi.org/10.1093/oxfordjournals.molbev.a026201" TargetMode="External" /><Relationship Type="http://schemas.openxmlformats.org/officeDocument/2006/relationships/hyperlink" Id="rId75" Target="https://doi.org/10.1093/oxfordjournals.molbev.a040454" TargetMode="External" /><Relationship Type="http://schemas.openxmlformats.org/officeDocument/2006/relationships/hyperlink" Id="rId71" Target="https://doi.org/10.1111/2041-210X.12425" TargetMode="External" /><Relationship Type="http://schemas.openxmlformats.org/officeDocument/2006/relationships/hyperlink" Id="rId69" Target="https://doi.org/10.1111/j.1755-0998.2010.02866.x" TargetMode="External" /><Relationship Type="http://schemas.openxmlformats.org/officeDocument/2006/relationships/hyperlink" Id="rId49" Target="https://doi.org/10.1126/science.185.4154.862" TargetMode="External" /><Relationship Type="http://schemas.openxmlformats.org/officeDocument/2006/relationships/hyperlink" Id="rId47" Target="https://doi.org/10.1128/CVI.00544-13" TargetMode="External" /><Relationship Type="http://schemas.openxmlformats.org/officeDocument/2006/relationships/hyperlink" Id="rId62" Target="https://doi.org/10.1186/1471-2105-5-113" TargetMode="External" /><Relationship Type="http://schemas.openxmlformats.org/officeDocument/2006/relationships/hyperlink" Id="rId64" Target="https://doi.org/10.1186/1471-2148-10-99" TargetMode="External" /><Relationship Type="http://schemas.openxmlformats.org/officeDocument/2006/relationships/hyperlink" Id="rId73" Target="https://doi.org/10.1214/aos/1176345338" TargetMode="External" /><Relationship Type="http://schemas.openxmlformats.org/officeDocument/2006/relationships/hyperlink" Id="rId55" Target="https://doi.org/10.1371/journal.pone.0185666" TargetMode="External" /><Relationship Type="http://schemas.openxmlformats.org/officeDocument/2006/relationships/hyperlink" Id="rId45" Target="https://doi.org/10.1371/journal.ppat.1008583" TargetMode="External" /><Relationship Type="http://schemas.openxmlformats.org/officeDocument/2006/relationships/hyperlink" Id="rId57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2026-06-05T20:39:08Z</dcterms:created>
  <dcterms:modified xsi:type="dcterms:W3CDTF">2026-06-05T20:39:08Z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2026-06-05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