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</w:p>
    <w:p>
      <w:pPr>
        <w:pStyle w:val="BodyText"/>
      </w:pPr>
      <w:r>
        <w:t xml:space="preserve">The raw sequence input is</w:t>
      </w:r>
      <w:r>
        <w:t xml:space="preserve"> </w:t>
      </w:r>
      <w:r>
        <w:rPr>
          <w:rStyle w:val="VerbatimChar"/>
        </w:rPr>
        <w:t xml:space="preserve">data/UGAFluVac-sequences.csv</w:t>
      </w:r>
      <w:r>
        <w:t xml:space="preserve">, a protein-sequence</w:t>
      </w:r>
      <w:r>
        <w:t xml:space="preserve"> </w:t>
      </w:r>
      <w:r>
        <w:t xml:space="preserve">source table with strain names, short names, source databases, accession</w:t>
      </w:r>
      <w:r>
        <w:t xml:space="preserve"> </w:t>
      </w:r>
      <w:r>
        <w:t xml:space="preserve">numbers, source full-length flags, and hemagglutinin protein sequences. The</w:t>
      </w:r>
      <w:r>
        <w:t xml:space="preserve"> </w:t>
      </w:r>
      <w:r>
        <w:t xml:space="preserve">pipeline restricts analysis inclusion to H1N1 and H3N2 sequence rows that can</w:t>
      </w:r>
      <w:r>
        <w:t xml:space="preserve"> </w:t>
      </w:r>
      <w:r>
        <w:t xml:space="preserve">be matched to antigens in the stored cartography maps. Sequence records outside</w:t>
      </w:r>
      <w:r>
        <w:t xml:space="preserve"> </w:t>
      </w:r>
      <w:r>
        <w:t xml:space="preserve">those stored maps are retained in the source table for provenance but are not</w:t>
      </w:r>
      <w:r>
        <w:t xml:space="preserve"> </w:t>
      </w:r>
      <w:r>
        <w:t xml:space="preserve">used in the distance comparisons in this manuscript.</w:t>
      </w:r>
    </w:p>
    <w:bookmarkEnd w:id="20"/>
    <w:bookmarkStart w:id="25" w:name="strain-inclusion-and-provenance-audit"/>
    <w:p>
      <w:pPr>
        <w:pStyle w:val="Heading1"/>
      </w:pPr>
      <w:r>
        <w:t xml:space="preserve">2. Strain Inclusion and Provenance Audit</w:t>
      </w:r>
    </w:p>
    <w:p>
      <w:pPr>
        <w:pStyle w:val="FirstParagraph"/>
      </w:pPr>
      <w:r>
        <w:t xml:space="preserve">The strain audit tables below trace the current analysis panel from the source</w:t>
      </w:r>
      <w:r>
        <w:t xml:space="preserve"> </w:t>
      </w:r>
      <w:r>
        <w:t xml:space="preserve">sequence table through cartography-overlap inclusion, sequence completeness</w:t>
      </w:r>
      <w:r>
        <w:t xml:space="preserve"> </w:t>
      </w:r>
      <w:r>
        <w:t xml:space="preserve">checks, and unique pairwise distance comparisons. Source sequence rows absent</w:t>
      </w:r>
      <w:r>
        <w:t xml:space="preserve"> </w:t>
      </w:r>
      <w:r>
        <w:t xml:space="preserve">from the stored cartography maps are reported as excluded from the current</w:t>
      </w:r>
      <w:r>
        <w:t xml:space="preserve"> </w:t>
      </w:r>
      <w:r>
        <w:t xml:space="preserve">analysis rather than as missing sequence records.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train-flow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Flow-style audit of source sequence rows, analysis-panel inclusion, sequence completeness, and unique pairwise distance counts.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2853"/>
              <w:gridCol w:w="736"/>
              <w:gridCol w:w="484"/>
              <w:gridCol w:w="3409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category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detail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sequence CSV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missing_source_rows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missing_accession_rows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missing_protein_sequence_rows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inclusion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excluded_absent_from_cartography_maps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PR/34, GD/19, Vic/19, Br/07, HK/19, Tas/20, Dar/21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completeness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distance matrices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equence-source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Sequence source counts by subtype and analysis-inclusion status.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12"/>
              <w:gridCol w:w="3667"/>
              <w:gridCol w:w="2810"/>
              <w:gridCol w:w="1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Rows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</w:tbl>
          <w:bookmarkEnd w:id="2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rain-provenance-access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Source database, accession, source and alignment full-length flags, and inclusion status for each row in the source sequence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79"/>
              <w:gridCol w:w="482"/>
              <w:gridCol w:w="1506"/>
              <w:gridCol w:w="1007"/>
              <w:gridCol w:w="661"/>
              <w:gridCol w:w="562"/>
              <w:gridCol w:w="657"/>
              <w:gridCol w:w="551"/>
              <w:gridCol w:w="832"/>
              <w:gridCol w:w="745"/>
              <w:gridCol w:w="863"/>
              <w:gridCol w:w="111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Short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Accession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Protein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non-gap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Exclusion reason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A/H1N1/South Carolina/1/1918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H1N1-South Carolina-1918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AAD17229.1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A/H1N1/Puerto Rico/8/1934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AGU93019.1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A/H1N1/Weiss/1943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H1N1-Weiss-1943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ABD79101.1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A/H1N1/Fort Monmouth/1/1947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H1N1-Fort Monmouth-1947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AAA67338.1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A/H1N1/Denver/1957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H1N1-Denver-1957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ABD15258.1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Jersey/8/1976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Jersey-1976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AGB51356.1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A/H1N1/USSR/90/1977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H1N1-Ussr-1977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ABD95350.1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A/H1N1/Brazil/11/1978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H1N1-Brazil-1978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ABO38065.1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A/H1N1/California/10/1978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ABP49338.1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A/H1N1/Chile/1/1983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H1N1-Chile-1983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A/H1N1/Singapore/6/1986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H1N1-Singapore-1986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A/H1N1/Texas/36/1991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H1N1-Texas-1991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ACF41933.1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A/H1N1/Beijing/262/1995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H1N1-Beijing-1995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ACF41867.1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Caledonia/20/1999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Caledonia-1999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AAP34324.1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A/H1N1/Solomon Islands/3/2006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H1N1-Solomon Islands-2006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ABU99109.1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A/H1N1/Brisbane/59/2007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ADE28750.1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A/H1N1/California/07/2009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ACP41953.1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A/H1N1/Michigan/45/2015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H1N1-Michigan-2015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AMV49034.1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A/H1N1/Brisbane/02/2018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EPI1415369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GD/19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A/H1N1/Guangdong-Maonan/SWL1536/2019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EPI3133357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A/H1N1/Victoria/2570/2019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WEY08940.1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Kong/8/1968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ABQ97200.1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A/H3N2/Port Chalmers/1/1973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H3N2-Port Chalmers-1973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ABE12532.1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A/H3N2/Texas/1/1977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AFM68965.1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A/H3N2/Mississippi/1/1985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H3N2-Mississippi-1985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AAA62338.1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A/H3N2/Sichuan/2/1987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H3N2-Sichuan-1987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AFG72085.1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A/H3N2/Shandong/9/1993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H3N2-Shangdong-1993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AFH00285.1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A/H3N2/Nanchang/933/1995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H3N2-Nanchang-1995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AFG72625.1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A/H3N2/Sydney/5/1997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H3N2-Sydney-1997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ACO95259.1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A/H3N2/Panama/2007/1999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H3N2-Panama-1999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ABF21273.1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A/H3N2/Fujian/411/2002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H3N2-Fujian-2002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AFG72823.1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A/H3N2/New York/55/2004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H3N2-New York-2004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A/H3N2/Wisconsin/67/2005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H3N2-Wisconsin-2005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AHG96791.1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A/H3N2/Brisbane/10/2007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AIW60702.1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A/H3N2/Uruguay/716/2007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H3N2-Uruguay-2007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ACD47213.1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A/H3N2/Perth/16/2009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H3N2-Perth-2009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ACS71642.1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A/H3N2/Victoria/361/2011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H3N2-Victoria-2011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AIU46088.1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A/H3N2/Texas/50/2012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AGL07159.1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A/H3N2/Switzerland/9715293/2013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H3N2-Switzerland-2013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EPI530687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Kong/4801/2014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EPI834581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A/H3N2/Singapore/infimh-16-0019/2016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H3N2-Singapore-2016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EPI780183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A/H3N2/Kansas/14/2017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H3N2-Kansas-2017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AVG71503.1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A/H3N2/South Australia/34/2019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H3N2-South Australia-2019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EPI1387331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Kong/2671/2019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WMW30924.1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Tas/20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A/H3N2/Tasmania/503/2020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WMW30850.1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A/H3N2/Darwin/9/2021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WND60806.1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</w:tbl>
          <w:bookmarkEnd w:id="2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train-pair-coun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Unique off-diagonal pair counts by subtype and distance metric.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58"/>
              <w:gridCol w:w="1797"/>
              <w:gridCol w:w="1375"/>
              <w:gridCol w:w="1823"/>
              <w:gridCol w:w="1849"/>
              <w:gridCol w:w="165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 count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24"/>
        </w:tc>
      </w:tr>
    </w:tbl>
    <w:bookmarkEnd w:id="25"/>
    <w:bookmarkStart w:id="29" w:name="Xcc2669ca57e8f985fbb729b1c6161b69ed0f86f"/>
    <w:p>
      <w:pPr>
        <w:pStyle w:val="Heading1"/>
      </w:pPr>
      <w:r>
        <w:t xml:space="preserve">3. Sequence Completeness and Missing-Data Sensitivity</w:t>
      </w:r>
    </w:p>
    <w:p>
      <w:pPr>
        <w:pStyle w:val="FirstParagraph"/>
      </w:pPr>
      <w:r>
        <w:t xml:space="preserve">For sequence-derived distances, the primary analysis uses pairwise deletion of</w:t>
      </w:r>
      <w:r>
        <w:t xml:space="preserve"> </w:t>
      </w:r>
      <w:r>
        <w:t xml:space="preserve">non-comparable aligned positions. In each strain pair, standard amino-acid</w:t>
      </w:r>
      <w:r>
        <w:t xml:space="preserve"> </w:t>
      </w:r>
      <w:r>
        <w:t xml:space="preserve">residues are comparable; alignment gaps, ambiguous or missing residue codes,</w:t>
      </w:r>
      <w:r>
        <w:t xml:space="preserve"> </w:t>
      </w:r>
      <w:r>
        <w:t xml:space="preserve">and known nonstandard amino-acid codes are excluded from the relevant</w:t>
      </w:r>
      <w:r>
        <w:t xml:space="preserve"> </w:t>
      </w:r>
      <w:r>
        <w:t xml:space="preserve">denominator rather than counted as zero-distance substitutions. This matches</w:t>
      </w:r>
      <w:r>
        <w:t xml:space="preserve"> </w:t>
      </w:r>
      <w:r>
        <w:t xml:space="preserve">the pairwise-deletion behavior commonly used for sequence distances when gaps</w:t>
      </w:r>
      <w:r>
        <w:t xml:space="preserve"> </w:t>
      </w:r>
      <w:r>
        <w:t xml:space="preserve">or missing states are sparse. As a cheap sensitivity check, we also computed</w:t>
      </w:r>
      <w:r>
        <w:t xml:space="preserve"> </w:t>
      </w:r>
      <w:r>
        <w:t xml:space="preserve">complete-deletion sequence distances, where sites containing any</w:t>
      </w:r>
      <w:r>
        <w:t xml:space="preserve"> </w:t>
      </w:r>
      <w:r>
        <w:t xml:space="preserve">non-comparable character in any included strain within subtype are removed</w:t>
      </w:r>
      <w:r>
        <w:t xml:space="preserve"> </w:t>
      </w:r>
      <w:r>
        <w:t xml:space="preserve">before pairwise distances are calculated.</w:t>
      </w:r>
    </w:p>
    <w:p>
      <w:pPr>
        <w:pStyle w:val="BodyText"/>
      </w:pPr>
      <w:r>
        <w:t xml:space="preserve">The complete-sequence sensitivity below removes included strains that are not</w:t>
      </w:r>
      <w:r>
        <w:t xml:space="preserve"> </w:t>
      </w:r>
      <w:r>
        <w:t xml:space="preserve">full-length by source or alignment audit from the existing distance matrices.</w:t>
      </w:r>
      <w:r>
        <w:t xml:space="preserve"> </w:t>
      </w:r>
      <w:r>
        <w:t xml:space="preserve">This matrix-subsetting check does not refit the multiple sequence alignment,</w:t>
      </w:r>
      <w:r>
        <w:t xml:space="preserve"> </w:t>
      </w:r>
      <w:r>
        <w:t xml:space="preserve">maximum-likelihood trees, distance-based trees, or cartography maps. If only</w:t>
      </w:r>
      <w:r>
        <w:t xml:space="preserve"> </w:t>
      </w:r>
      <w:r>
        <w:t xml:space="preserve">one included strain is non-full-length, the subtype-specific matrix result is</w:t>
      </w:r>
      <w:r>
        <w:t xml:space="preserve"> </w:t>
      </w:r>
      <w:r>
        <w:t xml:space="preserve">equivalent to the corresponding leave-one-strain-out matrix-removal result, but</w:t>
      </w:r>
      <w:r>
        <w:t xml:space="preserve"> </w:t>
      </w:r>
      <w:r>
        <w:t xml:space="preserve">the target is reported separately to make the complete-sequence audit explicit.</w:t>
      </w:r>
    </w:p>
    <w:p>
      <w:pPr>
        <w:pStyle w:val="BodyText"/>
      </w:pPr>
      <w:r>
        <w:t xml:space="preserve">More complex alternatives, including complete-sequence-only alignment and ML</w:t>
      </w:r>
      <w:r>
        <w:t xml:space="preserve"> </w:t>
      </w:r>
      <w:r>
        <w:t xml:space="preserve">tree refitting or treating gaps as a separate phylogenetic state, are deferred</w:t>
      </w:r>
      <w:r>
        <w:t xml:space="preserve"> </w:t>
      </w:r>
      <w:r>
        <w:t xml:space="preserve">unless requested because they answer broader questions and can be substantially</w:t>
      </w:r>
      <w:r>
        <w:t xml:space="preserve"> </w:t>
      </w:r>
      <w:r>
        <w:t xml:space="preserve">more computationally expensive.</w:t>
      </w:r>
    </w:p>
    <w:p>
      <w:pPr>
        <w:pStyle w:val="BodyText"/>
      </w:pPr>
      <w:r>
        <w:t xml:space="preserve">For the matrix-association summaries below, rows are flagged when the absolute</w:t>
      </w:r>
      <w:r>
        <w:t xml:space="preserve"> </w:t>
      </w:r>
      <w:r>
        <w:t xml:space="preserve">association change is at least 0.10 correlation units, matching the</w:t>
      </w:r>
      <w:r>
        <w:t xml:space="preserve"> </w:t>
      </w:r>
      <w:r>
        <w:t xml:space="preserve">leave-one-strain-out influence convention.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equence-character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Aligned sequence character audit by residue class. Unexpected characters should be reviewed against source data before publication-scale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86"/>
              <w:gridCol w:w="1021"/>
              <w:gridCol w:w="1819"/>
              <w:gridCol w:w="862"/>
              <w:gridCol w:w="5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Residue class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character count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Bris/07, Den/57, NC/99, SI/06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10,183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Bra/78, Bris/07, Bris/18, CA/09, CA/78, Chi/83, Den/57, FM/47, MI/15, NC/99, NJ/76, SC/18, SI/06, Sing/86, TX/91, USSR/77, Wei/43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11,649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Fuj/02, HK/14, HK/68, KS/17, MS/85, Nan/95, NY/04, Pan/99, PC/73, Per/09, SA/19, Shan/93, Sich/87, Sing/16, Switz/13, Syd/97, TX/12, TX/77, Uru/07, Vic/11, WI/05</w:t>
                  </w:r>
                </w:p>
              </w:tc>
            </w:tr>
          </w:tbl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complete-seque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Complete-sequence-only matrix sensitivity after excluding included strains that are not full-length by source or alignment audit. Estimates are matrix-association point estimates using existing fitted analysis objects; alignments, ML trees, and cartography maps are not refit.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70"/>
              <w:gridCol w:w="416"/>
              <w:gridCol w:w="1200"/>
              <w:gridCol w:w="1004"/>
              <w:gridCol w:w="1554"/>
              <w:gridCol w:w="566"/>
              <w:gridCol w:w="1116"/>
              <w:gridCol w:w="699"/>
              <w:gridCol w:w="699"/>
              <w:gridCol w:w="616"/>
              <w:gridCol w:w="62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non-full-length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2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equence-missing-data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Pairwise-deletion versus complete-deletion sensitivity for sequence-derived distances. Estimates compare each sequence-derived distance matrix with the existing ML-tree cophenetic distance.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0"/>
              <w:gridCol w:w="274"/>
              <w:gridCol w:w="546"/>
              <w:gridCol w:w="598"/>
              <w:gridCol w:w="546"/>
              <w:gridCol w:w="801"/>
              <w:gridCol w:w="820"/>
              <w:gridCol w:w="463"/>
              <w:gridCol w:w="515"/>
              <w:gridCol w:w="461"/>
              <w:gridCol w:w="661"/>
              <w:gridCol w:w="406"/>
              <w:gridCol w:w="408"/>
              <w:gridCol w:w="680"/>
              <w:gridCol w:w="790"/>
              <w:gridCol w:w="88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candidate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retained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excluded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Distance-matrix correlation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absolute distance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absolute distance change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</w:tbl>
          <w:bookmarkEnd w:id="28"/>
        </w:tc>
      </w:tr>
    </w:tbl>
    <w:bookmarkEnd w:id="29"/>
    <w:bookmarkStart w:id="32" w:name="alignment-sensitivity"/>
    <w:p>
      <w:pPr>
        <w:pStyle w:val="Heading1"/>
      </w:pPr>
      <w:r>
        <w:t xml:space="preserve">4. Alignment Sensitivity</w:t>
      </w:r>
    </w:p>
    <w:p>
      <w:pPr>
        <w:pStyle w:val="FirstParagraph"/>
      </w:pPr>
      <w:r>
        <w:t xml:space="preserve">The primary sequence analysis uses MUSCLE protein alignments through the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package. As an alignment-method sensitivity check, the pipeline also</w:t>
      </w:r>
      <w:r>
        <w:t xml:space="preserve"> </w:t>
      </w:r>
      <w:r>
        <w:t xml:space="preserve">computes ClustalW and ClustalOmega protein alignments for the same included</w:t>
      </w:r>
      <w:r>
        <w:t xml:space="preserve"> </w:t>
      </w:r>
      <w:r>
        <w:t xml:space="preserve">H1N1 and H3N2 strain panels. Nucleotide alignments and nucleotide distances are</w:t>
      </w:r>
      <w:r>
        <w:t xml:space="preserve"> </w:t>
      </w:r>
      <w:r>
        <w:t xml:space="preserve">not included because the current distance metrics and tree models are based on</w:t>
      </w:r>
      <w:r>
        <w:t xml:space="preserve"> </w:t>
      </w:r>
      <w:r>
        <w:t xml:space="preserve">hemagglutinin amino-acid sequences.</w:t>
      </w:r>
    </w:p>
    <w:p>
      <w:pPr>
        <w:pStyle w:val="BodyText"/>
      </w:pPr>
      <w:r>
        <w:t xml:space="preserve">The matrix-distance sensitivity below recomputes Grantham and p-epitope</w:t>
      </w:r>
      <w:r>
        <w:t xml:space="preserve"> </w:t>
      </w:r>
      <w:r>
        <w:t xml:space="preserve">distances under each alternative alignment and compares those distance matrices</w:t>
      </w:r>
      <w:r>
        <w:t xml:space="preserve"> </w:t>
      </w:r>
      <w:r>
        <w:t xml:space="preserve">with the primary MUSCLE ML-tree cophenetic distances. This analysis does not</w:t>
      </w:r>
      <w:r>
        <w:t xml:space="preserve"> </w:t>
      </w:r>
      <w:r>
        <w:t xml:space="preserve">refit ML trees, distance-based trees, or cartography maps under the alternative</w:t>
      </w:r>
      <w:r>
        <w:t xml:space="preserve"> </w:t>
      </w:r>
      <w:r>
        <w:t xml:space="preserve">alignments. Rows are flagged when the alternative-alignment estimate differs</w:t>
      </w:r>
      <w:r>
        <w:t xml:space="preserve"> </w:t>
      </w:r>
      <w:r>
        <w:t xml:space="preserve">from the primary estimate by at least 0.10 absolute correlation units.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alignment-dista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Matrix-only alignment sensitivity for sequence-derived distances. Alternative ClustalW and ClustalOmega distance matrices are compared with the primary MUSCLE ML-tree cophenetic distances.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783"/>
              <w:gridCol w:w="382"/>
              <w:gridCol w:w="754"/>
              <w:gridCol w:w="851"/>
              <w:gridCol w:w="1154"/>
              <w:gridCol w:w="1252"/>
              <w:gridCol w:w="711"/>
              <w:gridCol w:w="808"/>
              <w:gridCol w:w="707"/>
              <w:gridCol w:w="707"/>
              <w:gridCol w:w="623"/>
              <w:gridCol w:w="627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0"/>
        </w:tc>
      </w:tr>
    </w:tbl>
    <w:p>
      <w:pPr>
        <w:pStyle w:val="BodyText"/>
      </w:pPr>
      <w:r>
        <w:t xml:space="preserve">The model-selection sensitivity compares FLU-family amino-acid model-test</w:t>
      </w:r>
      <w:r>
        <w:t xml:space="preserve"> </w:t>
      </w:r>
      <w:r>
        <w:t xml:space="preserve">results across the primary and alternative alignments. A changed selected model</w:t>
      </w:r>
      <w:r>
        <w:t xml:space="preserve"> </w:t>
      </w:r>
      <w:r>
        <w:t xml:space="preserve">is recorded, but it is only flagged as materially alignment-sensitive when the</w:t>
      </w:r>
      <w:r>
        <w:t xml:space="preserve"> </w:t>
      </w:r>
      <w:r>
        <w:t xml:space="preserve">primary selected model’s log-likelihood loss under the alternative alignment</w:t>
      </w:r>
      <w:r>
        <w:t xml:space="preserve"> </w:t>
      </w:r>
      <w:r>
        <w:t xml:space="preserve">exceeds the same model-performance tolerance used for the primary</w:t>
      </w:r>
      <w:r>
        <w:t xml:space="preserve"> </w:t>
      </w:r>
      <w:r>
        <w:t xml:space="preserve">common-versus-subtype model rule.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alignment-mod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Alignment sensitivity for FLU-family amino-acid model selection. The primary selected model is flagged only when its loss under an alternative alignment exceeds the approved model-performance tolerance.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94"/>
              <w:gridCol w:w="706"/>
              <w:gridCol w:w="797"/>
              <w:gridCol w:w="876"/>
              <w:gridCol w:w="967"/>
              <w:gridCol w:w="1014"/>
              <w:gridCol w:w="1042"/>
              <w:gridCol w:w="916"/>
              <w:gridCol w:w="1275"/>
              <w:gridCol w:w="584"/>
              <w:gridCol w:w="78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AICc-best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selection strategy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model changed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sensitivity flag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1"/>
        </w:tc>
      </w:tr>
    </w:tbl>
    <w:bookmarkEnd w:id="32"/>
    <w:bookmarkStart w:id="34" w:name="tree-model-selection"/>
    <w:p>
      <w:pPr>
        <w:pStyle w:val="Heading1"/>
      </w:pPr>
      <w:r>
        <w:t xml:space="preserve">5. Tree Model Selection</w:t>
      </w:r>
    </w:p>
    <w:p>
      <w:pPr>
        <w:pStyle w:val="FirstParagraph"/>
      </w:pPr>
      <w:r>
        <w:t xml:space="preserve">For ML tree construction, the pipeline compares FLU-family amino-acid</w:t>
      </w:r>
      <w:r>
        <w:t xml:space="preserve"> </w:t>
      </w:r>
      <w:r>
        <w:t xml:space="preserve">substitution models</w:t>
      </w:r>
      <w:r>
        <w:t xml:space="preserve"> </w:t>
      </w:r>
      <w:r>
        <w:t xml:space="preserve">[1]</w:t>
      </w:r>
      <w:r>
        <w:t xml:space="preserve"> </w:t>
      </w:r>
      <w:r>
        <w:t xml:space="preserve">with and without invariant sites and discrete</w:t>
      </w:r>
      <w:r>
        <w:t xml:space="preserve"> </w:t>
      </w:r>
      <w:r>
        <w:t xml:space="preserve">gamma rate variation. In full mode, gamma category counts from 4 to 32 are</w:t>
      </w:r>
      <w:r>
        <w:t xml:space="preserve"> </w:t>
      </w:r>
      <w:r>
        <w:t xml:space="preserve">evaluated in increments of 4. Within each subtype, the lowest-AICc model is</w:t>
      </w:r>
      <w:r>
        <w:t xml:space="preserve"> </w:t>
      </w:r>
      <w:r>
        <w:t xml:space="preserve">identified</w:t>
      </w:r>
      <w:r>
        <w:t xml:space="preserve"> </w:t>
      </w:r>
      <w:r>
        <w:t xml:space="preserve">[2]</w:t>
      </w:r>
      <w:r>
        <w:t xml:space="preserve">. A common model is preferred for both subtypes</w:t>
      </w:r>
      <w:r>
        <w:t xml:space="preserve"> </w:t>
      </w:r>
      <w:r>
        <w:t xml:space="preserve">when its log-likelihood loss is no more than 10% relative to the</w:t>
      </w:r>
      <w:r>
        <w:t xml:space="preserve"> </w:t>
      </w:r>
      <w:r>
        <w:t xml:space="preserve">subtype-specific AICc-supported model. If no common model satisfies this</w:t>
      </w:r>
      <w:r>
        <w:t xml:space="preserve"> </w:t>
      </w:r>
      <w:r>
        <w:t xml:space="preserve">criterion, the pipeline uses subtype-specific models and the manuscript should</w:t>
      </w:r>
      <w:r>
        <w:t xml:space="preserve"> </w:t>
      </w:r>
      <w:r>
        <w:t xml:space="preserve">explicitly discuss why subtype-specific model choices were necessary.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ee-model-selec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FLU-family model comparison and selected model rule for ML tree fitting. Test-mode results use reduced gamma-category settings and should be regenerated in full mode before final manuscript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74"/>
              <w:gridCol w:w="747"/>
              <w:gridCol w:w="1641"/>
              <w:gridCol w:w="309"/>
              <w:gridCol w:w="546"/>
              <w:gridCol w:w="511"/>
              <w:gridCol w:w="690"/>
              <w:gridCol w:w="493"/>
              <w:gridCol w:w="511"/>
              <w:gridCol w:w="1416"/>
              <w:gridCol w:w="793"/>
              <w:gridCol w:w="112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model_test_gamma_categories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logLik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AICcw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Log-likelihood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Best by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for ML tree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7156.5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6401.3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6412.1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6552.3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33"/>
        </w:tc>
      </w:tr>
    </w:tbl>
    <w:bookmarkEnd w:id="34"/>
    <w:bookmarkStart w:id="36" w:name="antigenic-cartography-input-diagnostics"/>
    <w:p>
      <w:pPr>
        <w:pStyle w:val="Heading1"/>
      </w:pPr>
      <w:r>
        <w:t xml:space="preserve">6. Antigenic Cartography Input Diagnostics</w:t>
      </w:r>
    </w:p>
    <w:p>
      <w:pPr>
        <w:pStyle w:val="FirstParagraph"/>
      </w:pPr>
      <w:r>
        <w:t xml:space="preserve">The cartographic distances in the main analysis are extracted from stored</w:t>
      </w:r>
      <w:r>
        <w:t xml:space="preserve"> </w:t>
      </w:r>
      <w:r>
        <w:t xml:space="preserve">Racmacs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maps. These files are treated as first-pass cartography inputs</w:t>
      </w:r>
      <w:r>
        <w:t xml:space="preserve"> </w:t>
      </w:r>
      <w:r>
        <w:t xml:space="preserve">rather than a full reproduction of the upstream map-building workflow. A</w:t>
      </w:r>
      <w:r>
        <w:t xml:space="preserve"> </w:t>
      </w:r>
      <w:r>
        <w:t xml:space="preserve">separate manuscript is planned to describe construction of the human-serum</w:t>
      </w:r>
      <w:r>
        <w:t xml:space="preserve"> </w:t>
      </w:r>
      <w:r>
        <w:t xml:space="preserve">antigenic cartographies in detail. Using the same HAI dataset to construct the</w:t>
      </w:r>
      <w:r>
        <w:t xml:space="preserve"> </w:t>
      </w:r>
      <w:r>
        <w:t xml:space="preserve">maps and compare cartographic distances is a limitation of the current</w:t>
      </w:r>
      <w:r>
        <w:t xml:space="preserve"> </w:t>
      </w:r>
      <w:r>
        <w:t xml:space="preserve">analysis, but no comparable alternative is currently available for this strain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The diagnostics below report map dimensionality, strain and serum counts,</w:t>
      </w:r>
      <w:r>
        <w:t xml:space="preserve"> </w:t>
      </w:r>
      <w:r>
        <w:t xml:space="preserve">stored stress, stored projection count, and titer-table missingness where these</w:t>
      </w:r>
      <w:r>
        <w:t xml:space="preserve"> </w:t>
      </w:r>
      <w:r>
        <w:t xml:space="preserve">metadata are extractable from the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files. Optimization history beyond the</w:t>
      </w:r>
      <w:r>
        <w:t xml:space="preserve"> </w:t>
      </w:r>
      <w:r>
        <w:t xml:space="preserve">stored stress/projection metadata was not available in the 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inputs.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cartography-diagnost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11: Diagnostics extracted from the stored antigenic-cartography .ace inputs. Optimization history beyond stored stress and projection count was not available in these files.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7"/>
              <w:gridCol w:w="663"/>
              <w:gridCol w:w="465"/>
              <w:gridCol w:w="408"/>
              <w:gridCol w:w="928"/>
              <w:gridCol w:w="725"/>
              <w:gridCol w:w="574"/>
              <w:gridCol w:w="818"/>
              <w:gridCol w:w="813"/>
              <w:gridCol w:w="1307"/>
              <w:gridCol w:w="626"/>
              <w:gridCol w:w="151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Dimensions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projections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stress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cells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Measured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Lower-bound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Optimization metadata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1,524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30,449.36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27,432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20,858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6,574 (24.0%)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5,895 (28.3% of measured)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10-5,120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35,301.42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40,089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27,071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13,018 (32.5%)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4,180 (15.4% of measured)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10-20,480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</w:tbl>
          <w:bookmarkEnd w:id="35"/>
        </w:tc>
      </w:tr>
    </w:tbl>
    <w:bookmarkEnd w:id="36"/>
    <w:bookmarkStart w:id="45" w:name="distance-matrix-comparison-details"/>
    <w:p>
      <w:pPr>
        <w:pStyle w:val="Heading1"/>
      </w:pPr>
      <w:r>
        <w:t xml:space="preserve">7.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12: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13: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38"/>
        </w:tc>
      </w:tr>
    </w:tbl>
    <w:bookmarkStart w:id="42" w:name="subtype-contrast-analysis"/>
    <w:p>
      <w:pPr>
        <w:pStyle w:val="Heading2"/>
      </w:pPr>
      <w:r>
        <w:t xml:space="preserve">7.1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[3]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[4]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14: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3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15: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4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-8.09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41"/>
        </w:tc>
      </w:tr>
    </w:tbl>
    <w:bookmarkEnd w:id="42"/>
    <w:bookmarkStart w:id="44" w:name="descriptive-pearson-correlations"/>
    <w:p>
      <w:pPr>
        <w:pStyle w:val="Heading2"/>
      </w:pPr>
      <w:r>
        <w:t xml:space="preserve">7.2 Descriptive Pearson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(0.30, 0.61)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43"/>
        </w:tc>
      </w:tr>
    </w:tbl>
    <w:bookmarkEnd w:id="44"/>
    <w:bookmarkEnd w:id="45"/>
    <w:bookmarkStart w:id="52" w:name="leave-one-strain-out-influence-analysis"/>
    <w:p>
      <w:pPr>
        <w:pStyle w:val="Heading1"/>
      </w:pPr>
      <w:r>
        <w:t xml:space="preserve">8. Leave-One-Strain-Out Influence Analysis</w:t>
      </w:r>
    </w:p>
    <w:p>
      <w:pPr>
        <w:pStyle w:val="FirstParagraph"/>
      </w:pPr>
      <w:r>
        <w:t xml:space="preserve">We evaluated strain-level influence on the matrix-association results by</w:t>
      </w:r>
      <w:r>
        <w:t xml:space="preserve"> </w:t>
      </w:r>
      <w:r>
        <w:t xml:space="preserve">removing one strain at a time within subtype from the existing ML-tree</w:t>
      </w:r>
      <w:r>
        <w:t xml:space="preserve"> </w:t>
      </w:r>
      <w:r>
        <w:t xml:space="preserve">cophenetic and candidate distance matrices, then recomputing the observed</w:t>
      </w:r>
      <w:r>
        <w:t xml:space="preserve"> </w:t>
      </w:r>
      <w:r>
        <w:t xml:space="preserve">association estimates on the remaining unique off-diagonal strain pairs. This</w:t>
      </w:r>
      <w:r>
        <w:t xml:space="preserve"> </w:t>
      </w:r>
      <w:r>
        <w:t xml:space="preserve">analysis does not refit the multiple sequence alignments, ML trees, or</w:t>
      </w:r>
      <w:r>
        <w:t xml:space="preserve"> </w:t>
      </w:r>
      <w:r>
        <w:t xml:space="preserve">cartography maps; it asks whether the reported matrix associations are driven</w:t>
      </w:r>
      <w:r>
        <w:t xml:space="preserve"> </w:t>
      </w:r>
      <w:r>
        <w:t xml:space="preserve">by individual strains in the current fitted analysis objects.</w:t>
      </w:r>
    </w:p>
    <w:p>
      <w:pPr>
        <w:pStyle w:val="BodyText"/>
      </w:pPr>
      <w:r>
        <w:t xml:space="preserve">Rows are flagged when the absolute leave-one-out change is at least 0.10</w:t>
      </w:r>
      <w:r>
        <w:t xml:space="preserve"> </w:t>
      </w:r>
      <w:r>
        <w:t xml:space="preserve">correlation units. The derived summary retains both the Mantel-r point estimate</w:t>
      </w:r>
      <w:r>
        <w:t xml:space="preserve"> </w:t>
      </w:r>
      <w:r>
        <w:t xml:space="preserve">and the descriptive Pearson point estimate. For the within-subtype</w:t>
      </w:r>
      <w:r>
        <w:t xml:space="preserve"> </w:t>
      </w:r>
      <w:r>
        <w:t xml:space="preserve">leave-one-out comparisons shown here, both point estimates use the same</w:t>
      </w:r>
      <w:r>
        <w:t xml:space="preserve"> </w:t>
      </w:r>
      <w:r>
        <w:t xml:space="preserve">unique-pair vectors, so the displayed table and figure focus on Mantel 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influence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Leave-one-strain-out influence-analysis settings. The summary retains both Mantel-r and descriptive Pearson point-estimate rows; the table and figure below focus on Mantel 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448"/>
              <w:gridCol w:w="3912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</w:tr>
            <w:tr>
              <w:trPr>
                <w:trHeight w:val="571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Descriptive 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</w:tbl>
          <w:bookmarkEnd w:id="4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influence"/>
          <w:p>
            <w:pPr>
              <w:pStyle w:val="Compact"/>
              <w:jc w:val="center"/>
            </w:pPr>
            <w:r>
              <w:drawing>
                <wp:inline>
                  <wp:extent cx="5334000" cy="474133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D:/post-phd-research/flu-dist-v-phylo-trees/results/Figures/leave-one-strain-out-influence-plo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Largest leave-one-strain-out changes in Mantel correlation after removing</w:t>
            </w:r>
            <w:r>
              <w:t xml:space="preserve"> </w:t>
            </w:r>
            <w:r>
              <w:t xml:space="preserve">strains within subtype. Positive values indicate that the estimate</w:t>
            </w:r>
            <w:r>
              <w:t xml:space="preserve"> </w:t>
            </w:r>
            <w:r>
              <w:t xml:space="preserve">increased after removing the strain; negative values indicate that it</w:t>
            </w:r>
            <w:r>
              <w:t xml:space="preserve"> </w:t>
            </w:r>
            <w:r>
              <w:t xml:space="preserve">decreased. The complete row-level listing is shown in the influence table.</w:t>
            </w:r>
          </w:p>
          <w:bookmarkEnd w:id="5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influen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Leave-one-strain-out influence on Mantel correlations between each candidate distance metric and ML-tree cophenetic distance. Changes are leave-one-out estimates minus full-panel estimates.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968"/>
              <w:gridCol w:w="462"/>
              <w:gridCol w:w="740"/>
              <w:gridCol w:w="1116"/>
              <w:gridCol w:w="1520"/>
              <w:gridCol w:w="629"/>
              <w:gridCol w:w="1033"/>
              <w:gridCol w:w="778"/>
              <w:gridCol w:w="778"/>
              <w:gridCol w:w="685"/>
              <w:gridCol w:w="65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strain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Influence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51"/>
        </w:tc>
      </w:tr>
    </w:tbl>
    <w:bookmarkEnd w:id="52"/>
    <w:bookmarkStart w:id="54" w:name="supplemental-tree-topology-checks"/>
    <w:p>
      <w:pPr>
        <w:pStyle w:val="Heading1"/>
      </w:pPr>
      <w:r>
        <w:t xml:space="preserve">9. Supplemental Tree Topology Checks</w:t>
      </w:r>
    </w:p>
    <w:p>
      <w:pPr>
        <w:pStyle w:val="FirstParagraph"/>
      </w:pPr>
      <w:r>
        <w:t xml:space="preserve">The main manuscript reports delta log likelihood as the primary tree-comparison</w:t>
      </w:r>
      <w:r>
        <w:t xml:space="preserve"> </w:t>
      </w:r>
      <w:r>
        <w:t xml:space="preserve">metric, with SH p-values</w:t>
      </w:r>
      <w:r>
        <w:t xml:space="preserve"> </w:t>
      </w:r>
      <w:r>
        <w:t xml:space="preserve">[5]</w:t>
      </w:r>
      <w:r>
        <w:t xml:space="preserve"> </w:t>
      </w:r>
      <w:r>
        <w:t xml:space="preserve">and RF distance</w:t>
      </w:r>
      <w:r>
        <w:t xml:space="preserve"> </w:t>
      </w:r>
      <w:r>
        <w:t xml:space="preserve">[6]</w:t>
      </w:r>
      <w:r>
        <w:t xml:space="preserve"> </w:t>
      </w:r>
      <w:r>
        <w:t xml:space="preserve">as secondary checks. Additional</w:t>
      </w:r>
      <w:r>
        <w:t xml:space="preserve"> </w:t>
      </w:r>
      <w:r>
        <w:t xml:space="preserve">topology-distance summaries are reported here as sensitivity diagnostics rather</w:t>
      </w:r>
      <w:r>
        <w:t xml:space="preserve"> </w:t>
      </w:r>
      <w:r>
        <w:t xml:space="preserve">than primary evidence. These metrics are useful for checking whether the</w:t>
      </w:r>
      <w:r>
        <w:t xml:space="preserve"> </w:t>
      </w:r>
      <w:r>
        <w:t xml:space="preserve">likelihood ranking is accompanied by similar topology-distance patterns, but</w:t>
      </w:r>
      <w:r>
        <w:t xml:space="preserve"> </w:t>
      </w:r>
      <w:r>
        <w:t xml:space="preserve">they do not replace the likelihood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ree-topology-distanc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Supplemental topology-distance metrics between each distance-based neighbor-joining tree and the optimized ML tree.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13"/>
              <w:gridCol w:w="1704"/>
              <w:gridCol w:w="1164"/>
              <w:gridCol w:w="1058"/>
              <w:gridCol w:w="1720"/>
              <w:gridCol w:w="1736"/>
              <w:gridCol w:w="116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SPR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Path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52.58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13.86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47.33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64.45</w:t>
                  </w:r>
                </w:p>
              </w:tc>
            </w:tr>
          </w:tbl>
          <w:bookmarkEnd w:id="53"/>
        </w:tc>
      </w:tr>
    </w:tbl>
    <w:bookmarkEnd w:id="54"/>
    <w:bookmarkStart w:id="57" w:name="X9425d61a2535ee0cd3f8fc4233b412688b52bf0"/>
    <w:p>
      <w:pPr>
        <w:pStyle w:val="Heading1"/>
      </w:pPr>
      <w:r>
        <w:t xml:space="preserve">10. ML Tree Branch Support and Bootstrap Stability</w:t>
      </w:r>
    </w:p>
    <w:p>
      <w:pPr>
        <w:pStyle w:val="FirstParagraph"/>
      </w:pPr>
      <w:r>
        <w:t xml:space="preserve">To evaluate robustness of the optimized ML tree topologies themselves, the</w:t>
      </w:r>
      <w:r>
        <w:t xml:space="preserve"> </w:t>
      </w:r>
      <w:r>
        <w:t xml:space="preserve">pipeline performs nonparametric site-bootstrap resampling of the fitted ML</w:t>
      </w:r>
      <w:r>
        <w:t xml:space="preserve"> </w:t>
      </w:r>
      <w:r>
        <w:t xml:space="preserve">object for each subtype. Test mode uses reduced bootstrap settings for pipeline</w:t>
      </w:r>
      <w:r>
        <w:t xml:space="preserve"> </w:t>
      </w:r>
      <w:r>
        <w:t xml:space="preserve">checks, while full mode should be regenerated before interpreting these values</w:t>
      </w:r>
      <w:r>
        <w:t xml:space="preserve"> </w:t>
      </w:r>
      <w:r>
        <w:t xml:space="preserve">as publication evidence. The summary below reports branch-support and companion</w:t>
      </w:r>
      <w:r>
        <w:t xml:space="preserve"> </w:t>
      </w:r>
      <w:r>
        <w:t xml:space="preserve">topology-stability diagnostics. Branch support is the percentage of bootstrap</w:t>
      </w:r>
      <w:r>
        <w:t xml:space="preserve"> </w:t>
      </w:r>
      <w:r>
        <w:t xml:space="preserve">trees that recover each internal split in the optimized ML tree. The topology</w:t>
      </w:r>
      <w:r>
        <w:t xml:space="preserve"> </w:t>
      </w:r>
      <w:r>
        <w:t xml:space="preserve">stability summaries compare each bootstrap replicate tree with the optimized ML</w:t>
      </w:r>
      <w:r>
        <w:t xml:space="preserve"> </w:t>
      </w:r>
      <w:r>
        <w:t xml:space="preserve">tree using RF-style and related tree-distance metrics.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ml-tree-suppor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21: ML-tree branch support and bootstrap topology-stability summary. Test-mode values use reduced bootstrap replicates and should not be interpreted as final publication-scale robustness evidence.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9"/>
              <w:gridCol w:w="443"/>
              <w:gridCol w:w="397"/>
              <w:gridCol w:w="544"/>
              <w:gridCol w:w="576"/>
              <w:gridCol w:w="608"/>
              <w:gridCol w:w="395"/>
              <w:gridCol w:w="395"/>
              <w:gridCol w:w="395"/>
              <w:gridCol w:w="562"/>
              <w:gridCol w:w="558"/>
              <w:gridCol w:w="546"/>
              <w:gridCol w:w="659"/>
              <w:gridCol w:w="627"/>
              <w:gridCol w:w="703"/>
              <w:gridCol w:w="622"/>
              <w:gridCol w:w="631"/>
              <w:gridCol w:w="47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branches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Minimum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&gt;=70%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&gt;=95%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Usable topology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Topology distance failures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Identical topology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path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94.2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</w:tbl>
          <w:bookmarkEnd w:id="55"/>
        </w:tc>
      </w:tr>
    </w:tbl>
    <w:p>
      <w:pPr>
        <w:pStyle w:val="BodyText"/>
      </w:pPr>
      <w:r>
        <w:t xml:space="preserve">The node-level support table is included for auditability. Internal node</w:t>
      </w:r>
      <w:r>
        <w:t xml:space="preserve"> </w:t>
      </w:r>
      <w:r>
        <w:t xml:space="preserve">numbers refer to the unrooted ML tree object rather than named biological</w:t>
      </w:r>
      <w:r>
        <w:t xml:space="preserve"> </w:t>
      </w:r>
      <w:r>
        <w:t xml:space="preserve">clades; final clade-level interpretation should use the plotted tree and</w:t>
      </w:r>
      <w:r>
        <w:t xml:space="preserve"> </w:t>
      </w:r>
      <w:r>
        <w:t xml:space="preserve">full-mode support results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ml-branch-support-detai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22: Internal-node bootstrap support values for the optimized ML trees. Node identifiers refer to the underlying unrooted tree object.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0"/>
              <w:gridCol w:w="1642"/>
              <w:gridCol w:w="2282"/>
              <w:gridCol w:w="2234"/>
              <w:gridCol w:w="202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node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Support category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</w:tbl>
          <w:bookmarkEnd w:id="56"/>
        </w:tc>
      </w:tr>
    </w:tbl>
    <w:bookmarkEnd w:id="57"/>
    <w:bookmarkStart w:id="69" w:name="references"/>
    <w:p>
      <w:pPr>
        <w:pStyle w:val="Heading1"/>
      </w:pPr>
      <w:r>
        <w:t xml:space="preserve">11. References</w:t>
      </w:r>
    </w:p>
    <w:bookmarkStart w:id="68" w:name="refs"/>
    <w:bookmarkStart w:id="59" w:name="ref-dang2010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58">
        <w:r>
          <w:rPr>
            <w:rStyle w:val="Hyperlink"/>
          </w:rPr>
          <w:t xml:space="preserve">10.1186/1471-2148-10-99</w:t>
        </w:r>
      </w:hyperlink>
    </w:p>
    <w:bookmarkEnd w:id="59"/>
    <w:bookmarkStart w:id="60" w:name="ref-burnham2002mode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0"/>
    <w:bookmarkStart w:id="62" w:name="ref-rubin198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61">
        <w:r>
          <w:rPr>
            <w:rStyle w:val="Hyperlink"/>
          </w:rPr>
          <w:t xml:space="preserve">10.1214/aos/1176345338</w:t>
        </w:r>
      </w:hyperlink>
    </w:p>
    <w:bookmarkEnd w:id="62"/>
    <w:bookmarkStart w:id="63" w:name="ref-fisher192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63"/>
    <w:bookmarkStart w:id="65" w:name="ref-shimodaira1999ShTes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64">
        <w:r>
          <w:rPr>
            <w:rStyle w:val="Hyperlink"/>
          </w:rPr>
          <w:t xml:space="preserve">10.1093/oxfordjournals.molbev.a026201</w:t>
        </w:r>
      </w:hyperlink>
    </w:p>
    <w:bookmarkEnd w:id="65"/>
    <w:bookmarkStart w:id="67" w:name="X8b6875512c705bb343382cbd274febad517fdf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66">
        <w:r>
          <w:rPr>
            <w:rStyle w:val="Hyperlink"/>
          </w:rPr>
          <w:t xml:space="preserve">10.1016/0025-5564(81)90043-2</w:t>
        </w:r>
      </w:hyperlink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hyperlink" Id="rId66" Target="https://doi.org/10.1016/0025-5564(81)90043-2" TargetMode="External" /><Relationship Type="http://schemas.openxmlformats.org/officeDocument/2006/relationships/hyperlink" Id="rId64" Target="https://doi.org/10.1093/oxfordjournals.molbev.a026201" TargetMode="External" /><Relationship Type="http://schemas.openxmlformats.org/officeDocument/2006/relationships/hyperlink" Id="rId58" Target="https://doi.org/10.1186/1471-2148-10-99" TargetMode="External" /><Relationship Type="http://schemas.openxmlformats.org/officeDocument/2006/relationships/hyperlink" Id="rId61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016/0025-5564(81)90043-2" TargetMode="External" /><Relationship Type="http://schemas.openxmlformats.org/officeDocument/2006/relationships/hyperlink" Id="rId64" Target="https://doi.org/10.1093/oxfordjournals.molbev.a026201" TargetMode="External" /><Relationship Type="http://schemas.openxmlformats.org/officeDocument/2006/relationships/hyperlink" Id="rId58" Target="https://doi.org/10.1186/1471-2148-10-99" TargetMode="External" /><Relationship Type="http://schemas.openxmlformats.org/officeDocument/2006/relationships/hyperlink" Id="rId61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2026-06-04T21:37:54Z</dcterms:created>
  <dcterms:modified xsi:type="dcterms:W3CDTF">2026-06-04T21:37:54Z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