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2026-05-31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0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the sequences of all influenza viruses used for HAI assays,</w:t>
      </w:r>
      <w:r>
        <w:t xml:space="preserve"> </w:t>
      </w:r>
      <w:r>
        <w:t xml:space="preserve">and used Racmacs to compute antigenic cartography distances from the HAI data</w:t>
      </w:r>
      <w:r>
        <w:t xml:space="preserve"> </w:t>
      </w:r>
      <w:r>
        <w:t xml:space="preserve">[11]</w:t>
      </w:r>
      <w:r>
        <w:t xml:space="preserve">. All of our analyses were conducted</w:t>
      </w:r>
      <w:r>
        <w:t xml:space="preserve"> </w:t>
      </w:r>
      <w:r>
        <w:t xml:space="preserve">separately for H1N1 and H3N2 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For Grantham</w:t>
      </w:r>
      <w:r>
        <w:t xml:space="preserve"> </w:t>
      </w:r>
      <w:r>
        <w:t xml:space="preserve">distance, aligned positions containing gaps, ambiguous residues, or non-standard</w:t>
      </w:r>
      <w:r>
        <w:t xml:space="preserve"> </w:t>
      </w:r>
      <w:r>
        <w:t xml:space="preserve">amino acids were excluded from the pair-specific denominator rather than treated</w:t>
      </w:r>
      <w:r>
        <w:t xml:space="preserve"> </w:t>
      </w:r>
      <w:r>
        <w:t xml:space="preserve">as zero-distance substitutions. We had 18</w:t>
      </w:r>
      <w:r>
        <w:t xml:space="preserve"> </w:t>
      </w:r>
      <w:r>
        <w:t xml:space="preserve">H1N1 strains and 21 H3N2 strains in total. We then used</w:t>
      </w:r>
      <w:r>
        <w:t xml:space="preserve"> </w:t>
      </w:r>
      <w:r>
        <w:t xml:space="preserve">both alignments to construct maximum likelihood (ML) unrooted phylogenetic trees</w:t>
      </w:r>
      <w:r>
        <w:t xml:space="preserve"> </w:t>
      </w:r>
      <w:r>
        <w:t xml:space="preserve">using the FLU amino acid substitution model</w:t>
      </w:r>
      <w:r>
        <w:t xml:space="preserve"> </w:t>
      </w:r>
      <w:r>
        <w:t xml:space="preserve">[13]</w:t>
      </w:r>
      <w:r>
        <w:t xml:space="preserve">. For each subtype, we</w:t>
      </w:r>
      <w:r>
        <w:t xml:space="preserve"> </w:t>
      </w:r>
      <w:r>
        <w:t xml:space="preserve">compared FLU-family models with and without invariant sites and discrete gamma</w:t>
      </w:r>
      <w:r>
        <w:t xml:space="preserve"> </w:t>
      </w:r>
      <w:r>
        <w:t xml:space="preserve">rate variation, evaluating gamma category counts from 4 to 32 in increments of</w:t>
      </w:r>
      <w:r>
        <w:t xml:space="preserve"> </w:t>
      </w:r>
      <w:r>
        <w:t xml:space="preserve">4 for the full analysis. Models were compared with AICc</w:t>
      </w:r>
      <w:r>
        <w:t xml:space="preserve"> </w:t>
      </w:r>
      <w:r>
        <w:t xml:space="preserve">[14,15]</w:t>
      </w:r>
      <w:r>
        <w:t xml:space="preserve">. We selected the AICc-supported model within</w:t>
      </w:r>
      <w:r>
        <w:t xml:space="preserve"> </w:t>
      </w:r>
      <w:r>
        <w:t xml:space="preserve">each subtype, but preferred a common model for both subtypes when the common</w:t>
      </w:r>
      <w:r>
        <w:t xml:space="preserve"> </w:t>
      </w:r>
      <w:r>
        <w:t xml:space="preserve">model’s log-likelihood loss was no more than 10% relative to the</w:t>
      </w:r>
      <w:r>
        <w:t xml:space="preserve"> </w:t>
      </w:r>
      <w:r>
        <w:t xml:space="preserve">subtype-specific AICc-supported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[16,17]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</w:t>
      </w:r>
      <w:r>
        <w:t xml:space="preserve"> </w:t>
      </w:r>
      <w:r>
        <w:t xml:space="preserve">[18]</w:t>
      </w:r>
      <w:r>
        <w:t xml:space="preserve">. To quantify subtype differences,</w:t>
      </w:r>
      <w:r>
        <w:t xml:space="preserve"> </w:t>
      </w:r>
      <w:r>
        <w:t xml:space="preserve">we subtracted the H1N1 Mantel correlation from the H3N2 Mantel correlation for</w:t>
      </w:r>
      <w:r>
        <w:t xml:space="preserve"> </w:t>
      </w:r>
      <w:r>
        <w:t xml:space="preserve">each distance metric, with uncertainty estimated by the same strain-level</w:t>
      </w:r>
      <w:r>
        <w:t xml:space="preserve"> </w:t>
      </w:r>
      <w:r>
        <w:t xml:space="preserve">Bayesian bootstrap. Descriptive Pearson correlations using the same unique</w:t>
      </w:r>
      <w:r>
        <w:t xml:space="preserve"> </w:t>
      </w:r>
      <w:r>
        <w:t xml:space="preserve">off-diagonal pair representation are reported in the supplement for</w:t>
      </w:r>
      <w:r>
        <w:t xml:space="preserve"> </w:t>
      </w:r>
      <w:r>
        <w:t xml:space="preserve">interpretability.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</w:t>
      </w:r>
      <w:r>
        <w:t xml:space="preserve"> </w:t>
      </w:r>
      <w:r>
        <w:t xml:space="preserve">[19]</w:t>
      </w:r>
      <w:r>
        <w:t xml:space="preserve">. To compare the methods, we</w:t>
      </w:r>
      <w:r>
        <w:t xml:space="preserve"> </w:t>
      </w:r>
      <w:r>
        <w:t xml:space="preserve">calculated the likelihood of each distance-based tree under the selected ML</w:t>
      </w:r>
      <w:r>
        <w:t xml:space="preserve"> </w:t>
      </w:r>
      <w:r>
        <w:t xml:space="preserve">model and treated the decrease in log likelihood from the ML tree as the primary</w:t>
      </w:r>
      <w:r>
        <w:t xml:space="preserve"> </w:t>
      </w:r>
      <w:r>
        <w:t xml:space="preserve">tree-comparison statistic. We did not use a standard likelihood-ratio test</w:t>
      </w:r>
      <w:r>
        <w:t xml:space="preserve"> </w:t>
      </w:r>
      <w:r>
        <w:t xml:space="preserve">because these fixed distance-tree topologies are not nested regular parametric</w:t>
      </w:r>
      <w:r>
        <w:t xml:space="preserve"> </w:t>
      </w:r>
      <w:r>
        <w:t xml:space="preserve">models relative to the optimized ML topology. As secondary checks, we estimated</w:t>
      </w:r>
      <w:r>
        <w:t xml:space="preserve"> </w:t>
      </w:r>
      <w:r>
        <w:t xml:space="preserve">Shimodaira-Hasegawa p-values</w:t>
      </w:r>
      <w:r>
        <w:t xml:space="preserve"> </w:t>
      </w:r>
      <w:r>
        <w:t xml:space="preserve">[20]</w:t>
      </w:r>
      <w:r>
        <w:t xml:space="preserve"> </w:t>
      </w:r>
      <w:r>
        <w:t xml:space="preserve">and computed</w:t>
      </w:r>
      <w:r>
        <w:t xml:space="preserve"> </w:t>
      </w:r>
      <w:r>
        <w:t xml:space="preserve">Robinson-Foulds distances</w:t>
      </w:r>
      <w:r>
        <w:t xml:space="preserve"> </w:t>
      </w:r>
      <w:r>
        <w:t xml:space="preserve">[21]</w:t>
      </w:r>
      <w:r>
        <w:t xml:space="preserve"> </w:t>
      </w:r>
      <w:r>
        <w:t xml:space="preserve">between</w:t>
      </w:r>
      <w:r>
        <w:t xml:space="preserve"> </w:t>
      </w:r>
      <w:r>
        <w:t xml:space="preserve">each distance tree and the ML tree.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[22]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[15]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[23]</w:t>
      </w:r>
      <w:r>
        <w:t xml:space="preserve">.</w:t>
      </w:r>
    </w:p>
    <w:bookmarkEnd w:id="20"/>
    <w:bookmarkStart w:id="36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1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 Points</w:t>
            </w:r>
            <w:r>
              <w:t xml:space="preserve"> </w:t>
            </w:r>
            <w:r>
              <w:t xml:space="preserve">are unique off-diagonal strain pairs and are colored by subtype.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5"/>
        </w:tc>
      </w:tr>
    </w:tbl>
    <w:p>
      <w:pPr>
        <w:pStyle w:val="BodyText"/>
      </w:pPr>
      <w:r>
        <w:t xml:space="preserve">Subtype contrasts quantify these patterns directly (</w:t>
      </w:r>
      <w:hyperlink w:anchor="fig-subtype-contrasts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tbl-subtype-contrasts">
        <w:r>
          <w:rPr>
            <w:rStyle w:val="Hyperlink"/>
          </w:rPr>
          <w:t xml:space="preserve">Table 2</w:t>
        </w:r>
      </w:hyperlink>
      <w:r>
        <w:t xml:space="preserve">). Temporal distance and cartographic distance had larger</w:t>
      </w:r>
      <w:r>
        <w:t xml:space="preserve"> </w:t>
      </w:r>
      <w:r>
        <w:t xml:space="preserve">H3N2-than-H1N1 Mantel correlations in this strain panel, while the</w:t>
      </w:r>
      <w:r>
        <w:t xml:space="preserve"> </w:t>
      </w:r>
      <w:r>
        <w:t xml:space="preserve">sequence-derived contrasts were smaller.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btype-contrast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subtype-mantel-contrast-plo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Subtype contrasts in Mantel correlation between each distance metric and</w:t>
            </w:r>
            <w:r>
              <w:t xml:space="preserve"> </w:t>
            </w:r>
            <w:r>
              <w:t xml:space="preserve">ML-tree cophenetic distance. Points are H3N2 minus H1N1 differences, with</w:t>
            </w:r>
            <w:r>
              <w:t xml:space="preserve"> </w:t>
            </w:r>
            <w:r>
              <w:t xml:space="preserve">95% Bayesian bootstrap intervals over strain units.</w:t>
            </w:r>
          </w:p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ubtype-contra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H1N1 and H3N2 Mantel correlations and their subtype contrast for each distance metric. Differences are H3N2 minus H1N1. Intervals are Bayesian bootstrap 95% intervals over strain units.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3149"/>
              <w:gridCol w:w="3149"/>
              <w:gridCol w:w="1829"/>
              <w:gridCol w:w="1829"/>
              <w:gridCol w:w="2941"/>
              <w:gridCol w:w="1682"/>
              <w:gridCol w:w="200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30"/>
        </w:tc>
      </w:tr>
    </w:tbl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3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34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Instead, we summarize their likelihood support relative to the ML</w:t>
      </w:r>
      <w:r>
        <w:t xml:space="preserve"> </w:t>
      </w:r>
      <w:r>
        <w:t xml:space="preserve">tree, with SH p-values and RF distances as secondary checks</w:t>
      </w:r>
      <w:r>
        <w:t xml:space="preserve"> </w:t>
      </w:r>
      <w:r>
        <w:t xml:space="preserve">(</w:t>
      </w:r>
      <w:hyperlink w:anchor="tbl-tree-comparison">
        <w:r>
          <w:rPr>
            <w:rStyle w:val="Hyperlink"/>
          </w:rPr>
          <w:t xml:space="preserve">Table 3</w:t>
        </w:r>
      </w:hyperlink>
      <w:r>
        <w:t xml:space="preserve">). For the H1N1 strains, the temporal and cartographic</w:t>
      </w:r>
      <w:r>
        <w:t xml:space="preserve"> </w:t>
      </w:r>
      <w:r>
        <w:t xml:space="preserve">distance trees had larger decreases in log likelihood than the Grantham and</w:t>
      </w:r>
      <w:r>
        <w:t xml:space="preserve"> </w:t>
      </w:r>
      <m:oMath>
        <m:r>
          <m:t>p</m:t>
        </m:r>
      </m:oMath>
      <w:r>
        <w:t xml:space="preserve">-Epitope distance trees. For the H3N2 strains, the cartographic tree had the</w:t>
      </w:r>
      <w:r>
        <w:t xml:space="preserve"> </w:t>
      </w:r>
      <w:r>
        <w:t xml:space="preserve">largest likelihood decrease, while the temporal and Grantham distance trees</w:t>
      </w:r>
      <w:r>
        <w:t xml:space="preserve"> </w:t>
      </w:r>
      <w:r>
        <w:t xml:space="preserve">remained closer to the ML tree. The temporal distance tree was therefore much</w:t>
      </w:r>
      <w:r>
        <w:t xml:space="preserve"> </w:t>
      </w:r>
      <w:r>
        <w:t xml:space="preserve">less compatible with the sequence alignment for H1N1 than for H3N2, consistent</w:t>
      </w:r>
      <w:r>
        <w:t xml:space="preserve"> </w:t>
      </w:r>
      <w:r>
        <w:t xml:space="preserve">with the subtype-specific temporal patterns above.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tree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Distance-tree likelihood comparison against the optimized ML tree. Delta log likelihood is the decrease in log likelihood from the ML tree. SH p-values and RF distances are secondary topology checks.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16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1160.4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-4629.2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-3468.8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-3498.0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-3547.6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-3863.9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-3288.5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-3129.8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-3147.4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384.0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-3452.4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5"/>
        </w:tc>
      </w:tr>
    </w:tbl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Since cartographic distance is based on observed immune</w:t>
      </w:r>
      <w:r>
        <w:t xml:space="preserve"> </w:t>
      </w:r>
      <w:r>
        <w:t xml:space="preserve">response data, this implies that the hemagglutinin</w:t>
      </w:r>
      <w:r>
        <w:t xml:space="preserve"> </w:t>
      </w:r>
      <w:r>
        <w:t xml:space="preserve">sequence is not the only factor in determining individual immune responses. Our</w:t>
      </w:r>
      <w:r>
        <w:t xml:space="preserve"> </w:t>
      </w:r>
      <w:r>
        <w:t xml:space="preserve">sample is likely not representative, so similar analyses should be repeated on</w:t>
      </w:r>
      <w:r>
        <w:t xml:space="preserve"> </w:t>
      </w:r>
      <w:r>
        <w:t xml:space="preserve">other cohorts. Performing similar analyses using neuraminidase sequence and</w:t>
      </w:r>
      <w:r>
        <w:t xml:space="preserve"> </w:t>
      </w:r>
      <w:r>
        <w:t xml:space="preserve">inhibition data would complete our findings 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7"/>
    <w:bookmarkStart w:id="38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38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40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39">
        <w:r>
          <w:rPr>
            <w:rStyle w:val="Hyperlink"/>
          </w:rPr>
          <w:t xml:space="preserve">10.1089/vim.2017.0141</w:t>
        </w:r>
      </w:hyperlink>
    </w:p>
    <w:bookmarkEnd w:id="40"/>
    <w:bookmarkStart w:id="42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41">
        <w:r>
          <w:rPr>
            <w:rStyle w:val="Hyperlink"/>
          </w:rPr>
          <w:t xml:space="preserve">10.1093/infdis/jiy103</w:t>
        </w:r>
      </w:hyperlink>
    </w:p>
    <w:bookmarkEnd w:id="42"/>
    <w:bookmarkStart w:id="44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43">
        <w:r>
          <w:rPr>
            <w:rStyle w:val="Hyperlink"/>
          </w:rPr>
          <w:t xml:space="preserve">10.1371/journal.ppat.1008583</w:t>
        </w:r>
      </w:hyperlink>
    </w:p>
    <w:bookmarkEnd w:id="44"/>
    <w:bookmarkStart w:id="46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5">
        <w:r>
          <w:rPr>
            <w:rStyle w:val="Hyperlink"/>
          </w:rPr>
          <w:t xml:space="preserve">10.1128/CVI.00544-13</w:t>
        </w:r>
      </w:hyperlink>
    </w:p>
    <w:bookmarkEnd w:id="46"/>
    <w:bookmarkStart w:id="48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7">
        <w:r>
          <w:rPr>
            <w:rStyle w:val="Hyperlink"/>
          </w:rPr>
          <w:t xml:space="preserve">10.1126/science.185.4154.862</w:t>
        </w:r>
      </w:hyperlink>
    </w:p>
    <w:bookmarkEnd w:id="48"/>
    <w:bookmarkStart w:id="50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49">
        <w:r>
          <w:rPr>
            <w:rStyle w:val="Hyperlink"/>
          </w:rPr>
          <w:t xml:space="preserve">10.1016/j.vaccine.2006.01.010</w:t>
        </w:r>
      </w:hyperlink>
    </w:p>
    <w:bookmarkEnd w:id="50"/>
    <w:bookmarkStart w:id="52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51">
        <w:r>
          <w:rPr>
            <w:rStyle w:val="Hyperlink"/>
          </w:rPr>
          <w:t xml:space="preserve">10.1093/infdis/jiv367</w:t>
        </w:r>
      </w:hyperlink>
    </w:p>
    <w:bookmarkEnd w:id="52"/>
    <w:bookmarkStart w:id="54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53">
        <w:r>
          <w:rPr>
            <w:rStyle w:val="Hyperlink"/>
          </w:rPr>
          <w:t xml:space="preserve">10.1371/journal.pone.0185666</w:t>
        </w:r>
      </w:hyperlink>
    </w:p>
    <w:bookmarkEnd w:id="54"/>
    <w:bookmarkStart w:id="56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5">
        <w:r>
          <w:rPr>
            <w:rStyle w:val="Hyperlink"/>
          </w:rPr>
          <w:t xml:space="preserve">10.3389/fimmu.2020.00902</w:t>
        </w:r>
      </w:hyperlink>
    </w:p>
    <w:bookmarkEnd w:id="56"/>
    <w:bookmarkStart w:id="58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7">
        <w:r>
          <w:rPr>
            <w:rStyle w:val="Hyperlink"/>
          </w:rPr>
          <w:t xml:space="preserve">10.1038/s41591-022-01690-w</w:t>
        </w:r>
      </w:hyperlink>
    </w:p>
    <w:bookmarkEnd w:id="58"/>
    <w:bookmarkStart w:id="59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59"/>
    <w:bookmarkStart w:id="61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60">
        <w:r>
          <w:rPr>
            <w:rStyle w:val="Hyperlink"/>
          </w:rPr>
          <w:t xml:space="preserve">10.1186/1471-2105-5-113</w:t>
        </w:r>
      </w:hyperlink>
    </w:p>
    <w:bookmarkEnd w:id="61"/>
    <w:bookmarkStart w:id="63" w:name="ref-dang2010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62">
        <w:r>
          <w:rPr>
            <w:rStyle w:val="Hyperlink"/>
          </w:rPr>
          <w:t xml:space="preserve">10.1186/1471-2148-10-99</w:t>
        </w:r>
      </w:hyperlink>
    </w:p>
    <w:bookmarkEnd w:id="63"/>
    <w:bookmarkStart w:id="64" w:name="ref-burnham2002mod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4"/>
    <w:bookmarkStart w:id="66" w:name="ref-schliep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5">
        <w:r>
          <w:rPr>
            <w:rStyle w:val="Hyperlink"/>
          </w:rPr>
          <w:t xml:space="preserve">10.1093/bioinformatics/btq706</w:t>
        </w:r>
      </w:hyperlink>
    </w:p>
    <w:bookmarkEnd w:id="66"/>
    <w:bookmarkStart w:id="68" w:name="ref-legendre2010MantelAlternative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67">
        <w:r>
          <w:rPr>
            <w:rStyle w:val="Hyperlink"/>
          </w:rPr>
          <w:t xml:space="preserve">10.1111/j.1755-0998.2010.02866.x</w:t>
        </w:r>
      </w:hyperlink>
    </w:p>
    <w:bookmarkEnd w:id="68"/>
    <w:bookmarkStart w:id="70" w:name="ref-legendre2015ShouldMantel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69">
        <w:r>
          <w:rPr>
            <w:rStyle w:val="Hyperlink"/>
          </w:rPr>
          <w:t xml:space="preserve">10.1111/2041-210X.12425</w:t>
        </w:r>
      </w:hyperlink>
    </w:p>
    <w:bookmarkEnd w:id="70"/>
    <w:bookmarkStart w:id="72" w:name="ref-rubin198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1">
        <w:r>
          <w:rPr>
            <w:rStyle w:val="Hyperlink"/>
          </w:rPr>
          <w:t xml:space="preserve">10.1214/aos/1176345338</w:t>
        </w:r>
      </w:hyperlink>
    </w:p>
    <w:bookmarkEnd w:id="72"/>
    <w:bookmarkStart w:id="74" w:name="ref-saitou1987NeighborJoining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Saitou N, Nei M. The neighbor-joining method: A new method for reconstructing phylogenetic trees. Molecular Biology and Evolution. 1987;4: 406–425. doi:</w:t>
      </w:r>
      <w:hyperlink r:id="rId73">
        <w:r>
          <w:rPr>
            <w:rStyle w:val="Hyperlink"/>
          </w:rPr>
          <w:t xml:space="preserve">10.1093/oxfordjournals.molbev.a040454</w:t>
        </w:r>
      </w:hyperlink>
    </w:p>
    <w:bookmarkEnd w:id="74"/>
    <w:bookmarkStart w:id="76" w:name="ref-shimodaira1999ShTest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5">
        <w:r>
          <w:rPr>
            <w:rStyle w:val="Hyperlink"/>
          </w:rPr>
          <w:t xml:space="preserve">10.1093/oxfordjournals.molbev.a026201</w:t>
        </w:r>
      </w:hyperlink>
    </w:p>
    <w:bookmarkEnd w:id="76"/>
    <w:bookmarkStart w:id="78" w:name="X8b6875512c705bb343382cbd274febad517fdf3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77">
        <w:r>
          <w:rPr>
            <w:rStyle w:val="Hyperlink"/>
          </w:rPr>
          <w:t xml:space="preserve">10.1016/0025-5564(81)90043-2</w:t>
        </w:r>
      </w:hyperlink>
    </w:p>
    <w:bookmarkEnd w:id="78"/>
    <w:bookmarkStart w:id="79" w:name="ref-rcoreteam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79"/>
    <w:bookmarkStart w:id="81" w:name="ref-bodenhofer201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80">
        <w:r>
          <w:rPr>
            <w:rStyle w:val="Hyperlink"/>
          </w:rPr>
          <w:t xml:space="preserve">10.1093/bioinformatics/btv494</w:t>
        </w:r>
      </w:hyperlink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hyperlink" Id="rId77" Target="https://doi.org/10.1016/0025-5564(81)90043-2" TargetMode="External" /><Relationship Type="http://schemas.openxmlformats.org/officeDocument/2006/relationships/hyperlink" Id="rId49" Target="https://doi.org/10.1016/j.vaccine.2006.01.010" TargetMode="External" /><Relationship Type="http://schemas.openxmlformats.org/officeDocument/2006/relationships/hyperlink" Id="rId57" Target="https://doi.org/10.1038/s41591-022-01690-w" TargetMode="External" /><Relationship Type="http://schemas.openxmlformats.org/officeDocument/2006/relationships/hyperlink" Id="rId39" Target="https://doi.org/10.1089/vim.2017.0141" TargetMode="External" /><Relationship Type="http://schemas.openxmlformats.org/officeDocument/2006/relationships/hyperlink" Id="rId65" Target="https://doi.org/10.1093/bioinformatics/btq706" TargetMode="External" /><Relationship Type="http://schemas.openxmlformats.org/officeDocument/2006/relationships/hyperlink" Id="rId80" Target="https://doi.org/10.1093/bioinformatics/btv494" TargetMode="External" /><Relationship Type="http://schemas.openxmlformats.org/officeDocument/2006/relationships/hyperlink" Id="rId51" Target="https://doi.org/10.1093/infdis/jiv367" TargetMode="External" /><Relationship Type="http://schemas.openxmlformats.org/officeDocument/2006/relationships/hyperlink" Id="rId41" Target="https://doi.org/10.1093/infdis/jiy103" TargetMode="External" /><Relationship Type="http://schemas.openxmlformats.org/officeDocument/2006/relationships/hyperlink" Id="rId75" Target="https://doi.org/10.1093/oxfordjournals.molbev.a026201" TargetMode="External" /><Relationship Type="http://schemas.openxmlformats.org/officeDocument/2006/relationships/hyperlink" Id="rId73" Target="https://doi.org/10.1093/oxfordjournals.molbev.a040454" TargetMode="External" /><Relationship Type="http://schemas.openxmlformats.org/officeDocument/2006/relationships/hyperlink" Id="rId69" Target="https://doi.org/10.1111/2041-210X.12425" TargetMode="External" /><Relationship Type="http://schemas.openxmlformats.org/officeDocument/2006/relationships/hyperlink" Id="rId67" Target="https://doi.org/10.1111/j.1755-0998.2010.02866.x" TargetMode="External" /><Relationship Type="http://schemas.openxmlformats.org/officeDocument/2006/relationships/hyperlink" Id="rId47" Target="https://doi.org/10.1126/science.185.4154.862" TargetMode="External" /><Relationship Type="http://schemas.openxmlformats.org/officeDocument/2006/relationships/hyperlink" Id="rId45" Target="https://doi.org/10.1128/CVI.00544-13" TargetMode="External" /><Relationship Type="http://schemas.openxmlformats.org/officeDocument/2006/relationships/hyperlink" Id="rId60" Target="https://doi.org/10.1186/1471-2105-5-113" TargetMode="External" /><Relationship Type="http://schemas.openxmlformats.org/officeDocument/2006/relationships/hyperlink" Id="rId62" Target="https://doi.org/10.1186/1471-2148-10-99" TargetMode="External" /><Relationship Type="http://schemas.openxmlformats.org/officeDocument/2006/relationships/hyperlink" Id="rId71" Target="https://doi.org/10.1214/aos/1176345338" TargetMode="External" /><Relationship Type="http://schemas.openxmlformats.org/officeDocument/2006/relationships/hyperlink" Id="rId53" Target="https://doi.org/10.1371/journal.pone.0185666" TargetMode="External" /><Relationship Type="http://schemas.openxmlformats.org/officeDocument/2006/relationships/hyperlink" Id="rId43" Target="https://doi.org/10.1371/journal.ppat.1008583" TargetMode="External" /><Relationship Type="http://schemas.openxmlformats.org/officeDocument/2006/relationships/hyperlink" Id="rId55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1016/0025-5564(81)90043-2" TargetMode="External" /><Relationship Type="http://schemas.openxmlformats.org/officeDocument/2006/relationships/hyperlink" Id="rId49" Target="https://doi.org/10.1016/j.vaccine.2006.01.010" TargetMode="External" /><Relationship Type="http://schemas.openxmlformats.org/officeDocument/2006/relationships/hyperlink" Id="rId57" Target="https://doi.org/10.1038/s41591-022-01690-w" TargetMode="External" /><Relationship Type="http://schemas.openxmlformats.org/officeDocument/2006/relationships/hyperlink" Id="rId39" Target="https://doi.org/10.1089/vim.2017.0141" TargetMode="External" /><Relationship Type="http://schemas.openxmlformats.org/officeDocument/2006/relationships/hyperlink" Id="rId65" Target="https://doi.org/10.1093/bioinformatics/btq706" TargetMode="External" /><Relationship Type="http://schemas.openxmlformats.org/officeDocument/2006/relationships/hyperlink" Id="rId80" Target="https://doi.org/10.1093/bioinformatics/btv494" TargetMode="External" /><Relationship Type="http://schemas.openxmlformats.org/officeDocument/2006/relationships/hyperlink" Id="rId51" Target="https://doi.org/10.1093/infdis/jiv367" TargetMode="External" /><Relationship Type="http://schemas.openxmlformats.org/officeDocument/2006/relationships/hyperlink" Id="rId41" Target="https://doi.org/10.1093/infdis/jiy103" TargetMode="External" /><Relationship Type="http://schemas.openxmlformats.org/officeDocument/2006/relationships/hyperlink" Id="rId75" Target="https://doi.org/10.1093/oxfordjournals.molbev.a026201" TargetMode="External" /><Relationship Type="http://schemas.openxmlformats.org/officeDocument/2006/relationships/hyperlink" Id="rId73" Target="https://doi.org/10.1093/oxfordjournals.molbev.a040454" TargetMode="External" /><Relationship Type="http://schemas.openxmlformats.org/officeDocument/2006/relationships/hyperlink" Id="rId69" Target="https://doi.org/10.1111/2041-210X.12425" TargetMode="External" /><Relationship Type="http://schemas.openxmlformats.org/officeDocument/2006/relationships/hyperlink" Id="rId67" Target="https://doi.org/10.1111/j.1755-0998.2010.02866.x" TargetMode="External" /><Relationship Type="http://schemas.openxmlformats.org/officeDocument/2006/relationships/hyperlink" Id="rId47" Target="https://doi.org/10.1126/science.185.4154.862" TargetMode="External" /><Relationship Type="http://schemas.openxmlformats.org/officeDocument/2006/relationships/hyperlink" Id="rId45" Target="https://doi.org/10.1128/CVI.00544-13" TargetMode="External" /><Relationship Type="http://schemas.openxmlformats.org/officeDocument/2006/relationships/hyperlink" Id="rId60" Target="https://doi.org/10.1186/1471-2105-5-113" TargetMode="External" /><Relationship Type="http://schemas.openxmlformats.org/officeDocument/2006/relationships/hyperlink" Id="rId62" Target="https://doi.org/10.1186/1471-2148-10-99" TargetMode="External" /><Relationship Type="http://schemas.openxmlformats.org/officeDocument/2006/relationships/hyperlink" Id="rId71" Target="https://doi.org/10.1214/aos/1176345338" TargetMode="External" /><Relationship Type="http://schemas.openxmlformats.org/officeDocument/2006/relationships/hyperlink" Id="rId53" Target="https://doi.org/10.1371/journal.pone.0185666" TargetMode="External" /><Relationship Type="http://schemas.openxmlformats.org/officeDocument/2006/relationships/hyperlink" Id="rId43" Target="https://doi.org/10.1371/journal.ppat.1008583" TargetMode="External" /><Relationship Type="http://schemas.openxmlformats.org/officeDocument/2006/relationships/hyperlink" Id="rId55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2026-05-31T20:09:09Z</dcterms:created>
  <dcterms:modified xsi:type="dcterms:W3CDTF">2026-05-31T20:09:09Z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2026-05-31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