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4C6FC" w14:textId="77777777" w:rsidR="005C592C" w:rsidRDefault="00000000">
      <w:pPr>
        <w:pStyle w:val="Title"/>
      </w:pPr>
      <w:r>
        <w:t>Comparing antigenic distance metrics for influenza</w:t>
      </w:r>
    </w:p>
    <w:p w14:paraId="1DE27343" w14:textId="77777777" w:rsidR="005C592C" w:rsidRDefault="00000000">
      <w:pPr>
        <w:pStyle w:val="Subtitle"/>
      </w:pPr>
      <w:r>
        <w:t>EPID 8200 project</w:t>
      </w:r>
    </w:p>
    <w:p w14:paraId="136C9048" w14:textId="77777777" w:rsidR="005C592C" w:rsidRDefault="00000000">
      <w:pPr>
        <w:pStyle w:val="Author"/>
      </w:pPr>
      <w:r>
        <w:t>W. Zane Billings</w:t>
      </w:r>
    </w:p>
    <w:p w14:paraId="46E7E3D0" w14:textId="77777777" w:rsidR="005C592C" w:rsidRDefault="00000000">
      <w:pPr>
        <w:pStyle w:val="Date"/>
      </w:pPr>
      <w:r>
        <w:t>2024-05-05</w:t>
      </w:r>
    </w:p>
    <w:p w14:paraId="491B6B3E" w14:textId="77777777" w:rsidR="005C592C" w:rsidRDefault="00000000">
      <w:pPr>
        <w:pStyle w:val="AbstractTitle"/>
      </w:pPr>
      <w:r>
        <w:t>Abstract</w:t>
      </w:r>
    </w:p>
    <w:p w14:paraId="3BEE0AB5" w14:textId="77777777" w:rsidR="005C592C" w:rsidRDefault="00000000">
      <w:pPr>
        <w:pStyle w:val="Abstract"/>
      </w:pPr>
      <w:r>
        <w:t>Developing universal influenza vaccines will require improved understanding of how influenza variants differ from each other. We find that temporal distances perform poorly overall, but even sequence distances which match phylogenetic distances well do not match cartographic distances based on actual immune response data.</w:t>
      </w:r>
    </w:p>
    <w:p w14:paraId="361D8BC9" w14:textId="77777777" w:rsidR="005C592C" w:rsidRDefault="00000000">
      <w:pPr>
        <w:pStyle w:val="FirstParagraph"/>
      </w:pPr>
      <w:r>
        <w:t>Influenza A virus causes seasonal epidemics worldwide, primarily driven by continual evolution of the virus under selective pressure by host immunity [1]. Development of a universal influenza vaccine which can protect against novel strains of influenza has many challenges, including surveillance of new genomic variants and predicting which will be successful [2]. Statistical modeling and phylodynamic approaches are crucial tools in the development of a more broadly-protective influenza vaccine, but these methods rely on understanding how different each genomic variant of influenza actually is from its predecessors [3].</w:t>
      </w:r>
    </w:p>
    <w:p w14:paraId="2688632E" w14:textId="77777777" w:rsidR="005C592C" w:rsidRDefault="00000000">
      <w:pPr>
        <w:pStyle w:val="BodyText"/>
      </w:pPr>
      <w:r>
        <w:t>Many different metrics for assessing the antigenic difference between two influenza strains currently exist, including phylogenetic methods [4], sequence distances [5,6], and antigenic cartography, which is based on observed immunological data [7]. To understand the agreement in different distance measurements, we obtained data from a cohort study that has been previously described [8,9]. Using data from this study, we compared antigenic cartography and sequence methods to phylogenetic methods.</w:t>
      </w:r>
    </w:p>
    <w:p w14:paraId="5951A849" w14:textId="77777777" w:rsidR="005C592C" w:rsidRDefault="00000000">
      <w:pPr>
        <w:pStyle w:val="Heading1"/>
      </w:pPr>
      <w:bookmarkStart w:id="0" w:name="study-methodology"/>
      <w:r>
        <w:t>Study Methodology</w:t>
      </w:r>
    </w:p>
    <w:p w14:paraId="2CB1EAC9" w14:textId="77777777" w:rsidR="005C592C" w:rsidRDefault="00000000">
      <w:pPr>
        <w:pStyle w:val="FirstParagraph"/>
      </w:pPr>
      <w:r>
        <w:t xml:space="preserve">Briefly, our study data [8,9] consisted of volunteers enrolled at three different study sites from 2013 – 2019 who received a FluZone (Sanofi Pasteur) vaccine, and gave pre-vaccination and post-vaccination (21 or 28 day) serum samples. The serum samples were used for HAI assays against a panel of historical viruses. We computed the Hamming distance [5], </w:t>
      </w:r>
      <m:oMath>
        <m:r>
          <w:rPr>
            <w:rFonts w:ascii="Cambria Math" w:hAnsi="Cambria Math"/>
          </w:rPr>
          <m:t>p</m:t>
        </m:r>
      </m:oMath>
      <w:r>
        <w:t>-Epitope distance [6], and the absolute difference in the year of isolation of strains [10] from the sequences of all influenza viruses used for HAI assays, and used Racmacs to compute antigenic cartography distances from the HAI data [11]. All of our analyses were conducted separately for H1N1 and H3N2 strains.</w:t>
      </w:r>
    </w:p>
    <w:p w14:paraId="4088FAEF" w14:textId="77777777" w:rsidR="005C592C" w:rsidRDefault="00000000">
      <w:pPr>
        <w:pStyle w:val="BodyText"/>
      </w:pPr>
      <w:r>
        <w:t xml:space="preserve">In order to compare with phylogenetic methods, we first computed a multiple sequence alignment (MSA) using the MUSCLE algorithm [12]. The Hamming and </w:t>
      </w:r>
      <m:oMath>
        <m:r>
          <w:rPr>
            <w:rFonts w:ascii="Cambria Math" w:hAnsi="Cambria Math"/>
          </w:rPr>
          <m:t>p</m:t>
        </m:r>
      </m:oMath>
      <w:r>
        <w:t xml:space="preserve">-Epitope distances were computed based on this MSA. We had 18 H1N1 strains and 21 H3N2 strains in total. </w:t>
      </w:r>
      <w:r>
        <w:lastRenderedPageBreak/>
        <w:t xml:space="preserve">We then used both alignments to construct maximum likelihood (ML) unrooted phylogenetic trees using the FLU amino acid substitution model. We extracted the cophenetic distances between taxa from the ML trees, and compared these distances to our other distance metrics (temporal, Hamming, </w:t>
      </w:r>
      <m:oMath>
        <m:r>
          <w:rPr>
            <w:rFonts w:ascii="Cambria Math" w:hAnsi="Cambria Math"/>
          </w:rPr>
          <m:t>p</m:t>
        </m:r>
      </m:oMath>
      <w:r>
        <w:t>-Epitope, and cartography) using Pearson’s correlation.</w:t>
      </w:r>
    </w:p>
    <w:p w14:paraId="620F7B76" w14:textId="77777777" w:rsidR="005C592C" w:rsidRDefault="00000000">
      <w:pPr>
        <w:pStyle w:val="BodyText"/>
      </w:pPr>
      <w:r>
        <w:t xml:space="preserve">For each of the four distance metrics, we also built distance-based trees using neighbor joining. To compare the methods, we calculated the likelihood of each of the distance-based trees, then estimated the Shimodaira-Hasegawa test statistic to compare each of the distance trees to the ML tree. Finally, we computed the Robinson-Foulds distance between each set of trees. Our analyses were implemented with R version 4.3.3 [13] using the packages </w:t>
      </w:r>
      <w:r>
        <w:rPr>
          <w:rStyle w:val="VerbatimChar"/>
        </w:rPr>
        <w:t>phangorn</w:t>
      </w:r>
      <w:r>
        <w:t xml:space="preserve"> [14] and </w:t>
      </w:r>
      <w:r>
        <w:rPr>
          <w:rStyle w:val="VerbatimChar"/>
        </w:rPr>
        <w:t>msa</w:t>
      </w:r>
      <w:r>
        <w:t xml:space="preserve"> [15].</w:t>
      </w:r>
    </w:p>
    <w:p w14:paraId="07005981" w14:textId="77777777" w:rsidR="005C592C" w:rsidRDefault="00000000">
      <w:pPr>
        <w:pStyle w:val="Heading1"/>
      </w:pPr>
      <w:bookmarkStart w:id="1" w:name="study-results"/>
      <w:bookmarkEnd w:id="0"/>
      <w:r>
        <w:t>Study Results</w:t>
      </w:r>
    </w:p>
    <w:p w14:paraId="3376521A" w14:textId="77777777" w:rsidR="005C592C" w:rsidRDefault="00000000">
      <w:pPr>
        <w:pStyle w:val="FirstParagraph"/>
      </w:pPr>
      <w:r>
        <w:t xml:space="preserve">We found that all four distance metrics were strongly correlated with cophenetic tree distance for H3N2, but for H1N1, only the Hamming and </w:t>
      </w:r>
      <m:oMath>
        <m:r>
          <w:rPr>
            <w:rFonts w:ascii="Cambria Math" w:hAnsi="Cambria Math"/>
          </w:rPr>
          <m:t>p</m:t>
        </m:r>
      </m:oMath>
      <w:r>
        <w:t>-Epitope distances had a strong correlation with the tree distance (</w:t>
      </w:r>
      <w:hyperlink w:anchor="fig-corr">
        <w:r>
          <w:rPr>
            <w:rStyle w:val="Hyperlink"/>
          </w:rPr>
          <w:t>Figure 1</w:t>
        </w:r>
      </w:hyperlink>
      <w:r>
        <w:t>). H1N1 has two clusters, 2009 pandemic-like (pdm) and non-pdm. The pdm-like strains are genetically more similar to the 1918 pandemic strain than to most strains which circulated from 1950 – 2009, so the temporal distance correlation is weak, as expected.</w:t>
      </w:r>
    </w:p>
    <w:tbl>
      <w:tblPr>
        <w:tblStyle w:val="Table"/>
        <w:tblW w:w="5000" w:type="pct"/>
        <w:tblLayout w:type="fixed"/>
        <w:tblLook w:val="0000" w:firstRow="0" w:lastRow="0" w:firstColumn="0" w:lastColumn="0" w:noHBand="0" w:noVBand="0"/>
      </w:tblPr>
      <w:tblGrid>
        <w:gridCol w:w="9360"/>
      </w:tblGrid>
      <w:tr w:rsidR="005C592C" w14:paraId="646707E2" w14:textId="77777777">
        <w:tc>
          <w:tcPr>
            <w:tcW w:w="7920" w:type="dxa"/>
          </w:tcPr>
          <w:p w14:paraId="5D3877AD" w14:textId="77777777" w:rsidR="005C592C" w:rsidRDefault="00000000">
            <w:pPr>
              <w:pStyle w:val="Compact"/>
              <w:jc w:val="center"/>
            </w:pPr>
            <w:bookmarkStart w:id="2" w:name="fig-corr"/>
            <w:r>
              <w:rPr>
                <w:noProof/>
              </w:rPr>
              <w:drawing>
                <wp:inline distT="0" distB="0" distL="0" distR="0" wp14:anchorId="12297EBD" wp14:editId="5CEFE60F">
                  <wp:extent cx="5334000" cy="307730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results/Figures/corr-plot.png"/>
                          <pic:cNvPicPr>
                            <a:picLocks noChangeAspect="1" noChangeArrowheads="1"/>
                          </pic:cNvPicPr>
                        </pic:nvPicPr>
                        <pic:blipFill>
                          <a:blip r:embed="rId7"/>
                          <a:stretch>
                            <a:fillRect/>
                          </a:stretch>
                        </pic:blipFill>
                        <pic:spPr bwMode="auto">
                          <a:xfrm>
                            <a:off x="0" y="0"/>
                            <a:ext cx="5334000" cy="3077307"/>
                          </a:xfrm>
                          <a:prstGeom prst="rect">
                            <a:avLst/>
                          </a:prstGeom>
                          <a:noFill/>
                          <a:ln w="9525">
                            <a:noFill/>
                            <a:headEnd/>
                            <a:tailEnd/>
                          </a:ln>
                        </pic:spPr>
                      </pic:pic>
                    </a:graphicData>
                  </a:graphic>
                </wp:inline>
              </w:drawing>
            </w:r>
          </w:p>
          <w:p w14:paraId="5A540595" w14:textId="77777777" w:rsidR="005C592C" w:rsidRDefault="00000000">
            <w:pPr>
              <w:pStyle w:val="ImageCaption"/>
              <w:spacing w:before="200"/>
            </w:pPr>
            <w:r>
              <w:t>Figure 1: Scatterplots showing the cophenetic tree distance on the x-axis and the other distance metrics we calculated on the y-axes. The plots on the left are for H1N1 strains and the plots on the right are for H3N2 strains. The box shows Pearson’s correlation (R) along with a 95% Wald-type confidence interval.</w:t>
            </w:r>
          </w:p>
        </w:tc>
        <w:bookmarkEnd w:id="2"/>
      </w:tr>
    </w:tbl>
    <w:p w14:paraId="5FA65260" w14:textId="77777777" w:rsidR="005C592C" w:rsidRDefault="00000000">
      <w:pPr>
        <w:pStyle w:val="BodyText"/>
      </w:pPr>
      <w:r>
        <w:lastRenderedPageBreak/>
        <w:t>The cartographic distance correlation for H1N1 is also moderate, indicating that the evolutionary pattern of H1N1 strains does not necessarily explain variation in observed immune responses. For H3N2, the cartographic correlation was the lowest, and the two distances become less correlated as the distance values become larger. For closely related H3N2 strains the ability of the tree distance to predict differences in immune response appears to attenuate as strains drift further away.</w:t>
      </w:r>
    </w:p>
    <w:p w14:paraId="0AB30E96" w14:textId="77777777" w:rsidR="005C592C" w:rsidRDefault="00000000">
      <w:pPr>
        <w:pStyle w:val="BodyText"/>
      </w:pPr>
      <w:r>
        <w:t>The ML trees for both subtypes were able to reconstruct the patterns we expect for H1N1 and H3N2 influenza (</w:t>
      </w:r>
      <w:hyperlink w:anchor="fig-mltrees">
        <w:r>
          <w:rPr>
            <w:rStyle w:val="Hyperlink"/>
          </w:rPr>
          <w:t>Figure 2</w:t>
        </w:r>
      </w:hyperlink>
      <w:r>
        <w:t>). The H1N1 strains form two clades, one pdm-like clade which contains SC/18 (the 1918 pandemic strain), NJ/76 swine influenza, and the modern pdm-like strains. The other clade contains the H1N1 strains which circulated between the 1918 pandemic and the 2009 pandemic. The H3N2 strains tend to follow a similar ladder-like pattern, beginning with HK/68 and primarily separating by temporal distance, which corroborates the correlations between temporal and cophenetic distance (</w:t>
      </w:r>
      <w:hyperlink w:anchor="fig-corr">
        <w:r>
          <w:rPr>
            <w:rStyle w:val="Hyperlink"/>
          </w:rPr>
          <w:t>Figure 1</w:t>
        </w:r>
      </w:hyperlink>
      <w:r>
        <w:t>).</w:t>
      </w:r>
    </w:p>
    <w:tbl>
      <w:tblPr>
        <w:tblStyle w:val="Table"/>
        <w:tblW w:w="5000" w:type="pct"/>
        <w:tblLayout w:type="fixed"/>
        <w:tblLook w:val="0000" w:firstRow="0" w:lastRow="0" w:firstColumn="0" w:lastColumn="0" w:noHBand="0" w:noVBand="0"/>
      </w:tblPr>
      <w:tblGrid>
        <w:gridCol w:w="9360"/>
      </w:tblGrid>
      <w:tr w:rsidR="005C592C" w14:paraId="600D3A77" w14:textId="77777777">
        <w:tc>
          <w:tcPr>
            <w:tcW w:w="7920" w:type="dxa"/>
          </w:tcPr>
          <w:p w14:paraId="12433E94" w14:textId="77777777" w:rsidR="005C592C" w:rsidRDefault="00000000">
            <w:pPr>
              <w:pStyle w:val="Compact"/>
              <w:jc w:val="center"/>
            </w:pPr>
            <w:bookmarkStart w:id="3" w:name="fig-mltrees"/>
            <w:r>
              <w:rPr>
                <w:noProof/>
              </w:rPr>
              <w:drawing>
                <wp:inline distT="0" distB="0" distL="0" distR="0" wp14:anchorId="7A59BFA3" wp14:editId="6019C986">
                  <wp:extent cx="5334000" cy="266630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results/Figures/ml-trees.png"/>
                          <pic:cNvPicPr>
                            <a:picLocks noChangeAspect="1" noChangeArrowheads="1"/>
                          </pic:cNvPicPr>
                        </pic:nvPicPr>
                        <pic:blipFill>
                          <a:blip r:embed="rId8"/>
                          <a:stretch>
                            <a:fillRect/>
                          </a:stretch>
                        </pic:blipFill>
                        <pic:spPr bwMode="auto">
                          <a:xfrm>
                            <a:off x="0" y="0"/>
                            <a:ext cx="5334000" cy="2666309"/>
                          </a:xfrm>
                          <a:prstGeom prst="rect">
                            <a:avLst/>
                          </a:prstGeom>
                          <a:noFill/>
                          <a:ln w="9525">
                            <a:noFill/>
                            <a:headEnd/>
                            <a:tailEnd/>
                          </a:ln>
                        </pic:spPr>
                      </pic:pic>
                    </a:graphicData>
                  </a:graphic>
                </wp:inline>
              </w:drawing>
            </w:r>
          </w:p>
          <w:p w14:paraId="38C45C14" w14:textId="77777777" w:rsidR="005C592C" w:rsidRDefault="00000000">
            <w:pPr>
              <w:pStyle w:val="ImageCaption"/>
              <w:spacing w:before="200"/>
            </w:pPr>
            <w:r>
              <w:t>Figure 2: Maximum likelihood phylogenetic trees for H1N1 strains (left) and H3N2 strains (right). Both trees are rooted at the midpoint for display purposes, but the root was not optimized during fitting.</w:t>
            </w:r>
          </w:p>
        </w:tc>
        <w:bookmarkEnd w:id="3"/>
      </w:tr>
    </w:tbl>
    <w:p w14:paraId="7688C0D7" w14:textId="77777777" w:rsidR="005C592C" w:rsidRDefault="00000000">
      <w:pPr>
        <w:pStyle w:val="BodyText"/>
      </w:pPr>
      <w:r>
        <w:t>For brevity, we do not show all 8 of the distance-based neighbor joining phylogenies. However, we conducted SH tests and computed the RF distance between each of the distance-based trees and the ML tree for the same subtype (</w:t>
      </w:r>
      <w:hyperlink w:anchor="tbl-stats">
        <w:r>
          <w:rPr>
            <w:rStyle w:val="Hyperlink"/>
          </w:rPr>
          <w:t>Table 1</w:t>
        </w:r>
      </w:hyperlink>
      <w:r>
        <w:t xml:space="preserve">). For the H1N1 strains, the temporal distance and cartographic distance trees were different from the maximum likelihood tree based on the SH test, and these trees also had a much higher RF distance from the ML tree than the Hamming and </w:t>
      </w:r>
      <m:oMath>
        <m:r>
          <w:rPr>
            <w:rFonts w:ascii="Cambria Math" w:hAnsi="Cambria Math"/>
          </w:rPr>
          <m:t>p</m:t>
        </m:r>
      </m:oMath>
      <w:r>
        <w:t xml:space="preserve">-Epitope distance trees. For the H3N2 strains, the </w:t>
      </w:r>
      <m:oMath>
        <m:r>
          <w:rPr>
            <w:rFonts w:ascii="Cambria Math" w:hAnsi="Cambria Math"/>
          </w:rPr>
          <m:t>p</m:t>
        </m:r>
      </m:oMath>
      <w:r>
        <w:t>-Epitope distance tree was different from the ML tree, and the cartographic tree was extremely different from the ML tree. The ML tree, temporal distance, and Hamming distance trees were all similar. All of the changes in log likelihood for the H3N2 trees were smaller in magnitude than for H1N1. Notably, the temporal distance tree had a much lower likelihood than the ML model for H1N1.</w:t>
      </w:r>
    </w:p>
    <w:tbl>
      <w:tblPr>
        <w:tblStyle w:val="Table"/>
        <w:tblW w:w="5000" w:type="pct"/>
        <w:tblLayout w:type="fixed"/>
        <w:tblLook w:val="0000" w:firstRow="0" w:lastRow="0" w:firstColumn="0" w:lastColumn="0" w:noHBand="0" w:noVBand="0"/>
      </w:tblPr>
      <w:tblGrid>
        <w:gridCol w:w="9360"/>
      </w:tblGrid>
      <w:tr w:rsidR="005C592C" w14:paraId="4B4BB31D" w14:textId="77777777">
        <w:tc>
          <w:tcPr>
            <w:tcW w:w="7920" w:type="dxa"/>
          </w:tcPr>
          <w:p w14:paraId="775B0199" w14:textId="77777777" w:rsidR="005C592C" w:rsidRDefault="00000000">
            <w:pPr>
              <w:pStyle w:val="ImageCaption"/>
              <w:spacing w:before="200"/>
            </w:pPr>
            <w:bookmarkStart w:id="4" w:name="tbl-stats"/>
            <w:r>
              <w:lastRenderedPageBreak/>
              <w:t>Table 1: Log likelihood of all constructed trees, along with the decrease in log likelihood (Δll) from the ML model, the p-value of the Shimodaira-Hasegawa test (SH p-value; evaluated on one million bootstrap resamples), and the Robinson-Foulds distance from the ML tree (RF distance).</w:t>
            </w:r>
          </w:p>
          <w:tbl>
            <w:tblPr>
              <w:tblStyle w:val="Table"/>
              <w:tblW w:w="0" w:type="auto"/>
              <w:jc w:val="center"/>
              <w:tblLayout w:type="fixed"/>
              <w:tblLook w:val="0420" w:firstRow="1" w:lastRow="0" w:firstColumn="0" w:lastColumn="0" w:noHBand="0" w:noVBand="1"/>
            </w:tblPr>
            <w:tblGrid>
              <w:gridCol w:w="1080"/>
              <w:gridCol w:w="2520"/>
              <w:gridCol w:w="1440"/>
              <w:gridCol w:w="1440"/>
              <w:gridCol w:w="1440"/>
              <w:gridCol w:w="1440"/>
            </w:tblGrid>
            <w:tr w:rsidR="005C592C" w14:paraId="2E8C99BA" w14:textId="77777777" w:rsidTr="005C592C">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593068"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 </w:t>
                  </w:r>
                </w:p>
              </w:tc>
              <w:tc>
                <w:tcPr>
                  <w:tcW w:w="25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A3004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Tree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4EF02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likelihood</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EBBF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Δll</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EB3E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 p-value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275FA3"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RF distance</w:t>
                  </w:r>
                </w:p>
              </w:tc>
            </w:tr>
            <w:tr w:rsidR="005C592C" w14:paraId="02C95F97" w14:textId="77777777" w:rsidTr="005C592C">
              <w:trPr>
                <w:jc w:val="center"/>
              </w:trPr>
              <w:tc>
                <w:tcPr>
                  <w:tcW w:w="1080" w:type="dxa"/>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2402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H1N1</w:t>
                  </w:r>
                </w:p>
              </w:tc>
              <w:tc>
                <w:tcPr>
                  <w:tcW w:w="25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BC64"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Maximum Likelihood (baseline)</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C0B17"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-3468.8</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24521"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2D05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E784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5C592C" w14:paraId="5AFE2EFC"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64D9E2"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76527"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Temporal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086E5"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-5708.2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3C99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2239.4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B438"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&lt; 0.001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3A6AF"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w:t>
                  </w:r>
                </w:p>
              </w:tc>
            </w:tr>
            <w:tr w:rsidR="005C592C" w14:paraId="1D3B01F3"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D6837"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EAAE"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Hamming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F1A35"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-3469.4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D4CFB"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EF80D"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ECD6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5C592C" w14:paraId="31EE4E9C"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681B8"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B63C3"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p-Epitope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EE35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-3543.3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36C1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74.5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6D49F"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7B3E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5C592C" w14:paraId="0679FA2B"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A837A"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299C4"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Cartographic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1C1C2"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-3980.1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2E2E1"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511.3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69C7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&lt; 0.001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C788F"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5C592C" w14:paraId="70EDB443" w14:textId="77777777" w:rsidTr="005C592C">
              <w:trPr>
                <w:jc w:val="center"/>
              </w:trPr>
              <w:tc>
                <w:tcPr>
                  <w:tcW w:w="1080" w:type="dxa"/>
                  <w:vMerge w:val="restar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107EEC9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H3N2</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7DDDB"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Maximum Likelihood (baseline)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71BD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-3065.6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BAC6"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43151"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4E624"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5C592C" w14:paraId="771DFA8E" w14:textId="77777777" w:rsidTr="005C592C">
              <w:trPr>
                <w:jc w:val="center"/>
              </w:trPr>
              <w:tc>
                <w:tcPr>
                  <w:tcW w:w="1080" w:type="dxa"/>
                  <w:vMerge/>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96F97"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F15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Temporal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A39C8"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-3102.7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75B96"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7098"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0.270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965A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5C592C" w14:paraId="661D4142"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20495"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B0A8"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Hamming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3DF6B"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-3110.2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EE32A"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44.6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D8D30"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E367E"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5C592C" w14:paraId="71997246" w14:textId="77777777" w:rsidTr="005C592C">
              <w:trPr>
                <w:jc w:val="center"/>
              </w:trPr>
              <w:tc>
                <w:tcPr>
                  <w:tcW w:w="108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D77BE"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763AE"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p-Epitope distance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D1C4"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-3171.3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737F4"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105.7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A46C2"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96661"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5C592C" w14:paraId="0BD154C8" w14:textId="77777777" w:rsidTr="005C592C">
              <w:trPr>
                <w:jc w:val="center"/>
              </w:trPr>
              <w:tc>
                <w:tcPr>
                  <w:tcW w:w="1080" w:type="dxa"/>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6C1DBDF" w14:textId="77777777" w:rsidR="005C592C" w:rsidRDefault="005C592C">
                  <w:pPr>
                    <w:pBdr>
                      <w:top w:val="none" w:sz="0" w:space="0" w:color="000000"/>
                      <w:left w:val="none" w:sz="0" w:space="0" w:color="000000"/>
                      <w:bottom w:val="none" w:sz="0" w:space="0" w:color="000000"/>
                      <w:right w:val="none" w:sz="0" w:space="0" w:color="000000"/>
                    </w:pBdr>
                    <w:spacing w:before="100" w:after="100"/>
                    <w:ind w:left="100" w:right="100"/>
                  </w:pPr>
                </w:p>
              </w:tc>
              <w:tc>
                <w:tcPr>
                  <w:tcW w:w="25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1CB7F9"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Cartographic distance</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AD3FA"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-3442.2</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2F5D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376.6</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0EE32C"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&lt; 0.001</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2DD857" w14:textId="77777777" w:rsidR="005C592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bookmarkEnd w:id="4"/>
          </w:tbl>
          <w:p w14:paraId="78AE2198" w14:textId="77777777" w:rsidR="00000000" w:rsidRDefault="00000000">
            <w:pPr>
              <w:spacing w:after="0"/>
            </w:pPr>
          </w:p>
        </w:tc>
      </w:tr>
    </w:tbl>
    <w:p w14:paraId="322332C8" w14:textId="77777777" w:rsidR="005C592C" w:rsidRDefault="00000000">
      <w:pPr>
        <w:pStyle w:val="Heading1"/>
      </w:pPr>
      <w:bookmarkStart w:id="5" w:name="conclusions"/>
      <w:bookmarkEnd w:id="1"/>
      <w:r>
        <w:t>Conclusions</w:t>
      </w:r>
    </w:p>
    <w:p w14:paraId="0B5FF4EE" w14:textId="77777777" w:rsidR="005C592C" w:rsidRDefault="00000000">
      <w:pPr>
        <w:pStyle w:val="FirstParagraph"/>
      </w:pPr>
      <w:r>
        <w:t xml:space="preserve">Many papers still use the temporal method for calculating antigenic distance. However, for H1N1, the temporal distance completely fails to reconstruct any genetic changes. For H3N2, the temporal distance was similar to the ML distance.The Hamming and </w:t>
      </w:r>
      <m:oMath>
        <m:r>
          <w:rPr>
            <w:rFonts w:ascii="Cambria Math" w:hAnsi="Cambria Math"/>
          </w:rPr>
          <m:t>p</m:t>
        </m:r>
      </m:oMath>
      <w:r>
        <w:t>-Epitope distances were similar for both subtypes.</w:t>
      </w:r>
    </w:p>
    <w:p w14:paraId="7B4412DE" w14:textId="77777777" w:rsidR="005C592C" w:rsidRDefault="00000000">
      <w:pPr>
        <w:pStyle w:val="BodyText"/>
      </w:pPr>
      <w:r>
        <w:t>The cartographic distance tree was substantially different from the ML tree for both H1N1 and H3N2. Since cartographic distance is based on observed immune response data, this implies that the hemagglutinin sequence is not the only factor in determining individual immune responses. Our sample is likely not representative, so similar analyses should be repeated on other cohorts. Performing similar analyses using neuraminidase sequence and inhibition data would complete our findings well.</w:t>
      </w:r>
    </w:p>
    <w:p w14:paraId="7D94C8A1" w14:textId="77777777" w:rsidR="005C592C" w:rsidRDefault="00000000">
      <w:pPr>
        <w:pStyle w:val="BodyText"/>
      </w:pPr>
      <w:r>
        <w:t>Overall we find that temporal methods should be avoided and are not suitable for calculating evolutionary distance between influenza strains. Additionally, the genetic distance between influenza strains does not match the cartographic difference from observed immune response data, indicating that genetic and antigenic evolution do not always agree.</w:t>
      </w:r>
    </w:p>
    <w:p w14:paraId="4FE1BD9A" w14:textId="77777777" w:rsidR="005C592C" w:rsidRDefault="00000000">
      <w:pPr>
        <w:pStyle w:val="Heading1"/>
      </w:pPr>
      <w:bookmarkStart w:id="6" w:name="acknowledgement"/>
      <w:bookmarkEnd w:id="5"/>
      <w:r>
        <w:lastRenderedPageBreak/>
        <w:t>Acknowledgement</w:t>
      </w:r>
    </w:p>
    <w:p w14:paraId="22339331" w14:textId="77777777" w:rsidR="005C592C" w:rsidRDefault="00000000">
      <w:pPr>
        <w:pStyle w:val="FirstParagraph"/>
      </w:pPr>
      <w:r>
        <w:t>We acknowledge the contributions of the following individuals to this work and other underlying work (in alphabetical order): Justin Bahl, Lambodhar Damodaran, Yang Ge, Savannah Hammerton, Andreas Handel, Ted Ross, Ye Shen, Amanda Skarlupka, Meng-Hsuan Sung. This work would not have been possible without the contributions of many software developers and methodologists who remain uncited due to the 15 citation limit. Finally, we thank the University of Georgia graduate school for providing funding.</w:t>
      </w:r>
    </w:p>
    <w:p w14:paraId="2FA274E6" w14:textId="77777777" w:rsidR="005C592C" w:rsidRDefault="00000000">
      <w:pPr>
        <w:pStyle w:val="Heading1"/>
      </w:pPr>
      <w:bookmarkStart w:id="7" w:name="references"/>
      <w:bookmarkEnd w:id="6"/>
      <w:r>
        <w:t>References</w:t>
      </w:r>
    </w:p>
    <w:p w14:paraId="066B7AF1" w14:textId="77777777" w:rsidR="005C592C" w:rsidRDefault="00000000">
      <w:pPr>
        <w:pStyle w:val="Bibliography"/>
      </w:pPr>
      <w:bookmarkStart w:id="8" w:name="ref-kim2018"/>
      <w:bookmarkStart w:id="9" w:name="refs"/>
      <w:r>
        <w:t xml:space="preserve">1. </w:t>
      </w:r>
      <w:r>
        <w:tab/>
        <w:t>Kim H, Webster RG, Webby RJ. Influenza Virus: Dealing with a Drifting and Shifting Pathogen. Viral Immunology. 2018;31: 174–183. doi:</w:t>
      </w:r>
      <w:hyperlink r:id="rId9">
        <w:r>
          <w:rPr>
            <w:rStyle w:val="Hyperlink"/>
          </w:rPr>
          <w:t>10.1089/vim.2017.0141</w:t>
        </w:r>
      </w:hyperlink>
    </w:p>
    <w:p w14:paraId="64582BCB" w14:textId="77777777" w:rsidR="005C592C" w:rsidRDefault="00000000">
      <w:pPr>
        <w:pStyle w:val="Bibliography"/>
      </w:pPr>
      <w:bookmarkStart w:id="10" w:name="ref-erbelding2018"/>
      <w:bookmarkEnd w:id="8"/>
      <w:r>
        <w:t xml:space="preserve">2. </w:t>
      </w:r>
      <w:r>
        <w:tab/>
        <w:t>Erbelding EJ, Post DJ, Stemmy EJ, Roberts PC, Augustine AD, Ferguson S, et al. A Universal Influenza Vaccine: The Strategic Plan for the National Institute of Allergy and Infectious Diseases. The Journal of Infectious Diseases. 2018;218: 347–354. doi:</w:t>
      </w:r>
      <w:hyperlink r:id="rId10">
        <w:r>
          <w:rPr>
            <w:rStyle w:val="Hyperlink"/>
          </w:rPr>
          <w:t>10.1093/infdis/jiy103</w:t>
        </w:r>
      </w:hyperlink>
    </w:p>
    <w:p w14:paraId="2594E616" w14:textId="77777777" w:rsidR="005C592C" w:rsidRDefault="00000000">
      <w:pPr>
        <w:pStyle w:val="Bibliography"/>
      </w:pPr>
      <w:bookmarkStart w:id="11" w:name="ref-viboud2020a"/>
      <w:bookmarkEnd w:id="10"/>
      <w:r>
        <w:t xml:space="preserve">3. </w:t>
      </w:r>
      <w:r>
        <w:tab/>
        <w:t>Viboud C, Gostic K, Nelson MI, Price GE, Perofsky A, Sun K, et al. Beyond clinical trials: Evolutionary and epidemiological considerations for development of a universal influenza vaccine. PLoS pathogens. 2020;16: e1008583. doi:</w:t>
      </w:r>
      <w:hyperlink r:id="rId11">
        <w:r>
          <w:rPr>
            <w:rStyle w:val="Hyperlink"/>
          </w:rPr>
          <w:t>10.1371/journal.ppat.1008583</w:t>
        </w:r>
      </w:hyperlink>
    </w:p>
    <w:p w14:paraId="5C4B9D93" w14:textId="77777777" w:rsidR="005C592C" w:rsidRDefault="00000000">
      <w:pPr>
        <w:pStyle w:val="Bibliography"/>
      </w:pPr>
      <w:bookmarkStart w:id="12" w:name="ref-durviaux2014"/>
      <w:bookmarkEnd w:id="11"/>
      <w:r>
        <w:t xml:space="preserve">4. </w:t>
      </w:r>
      <w:r>
        <w:tab/>
        <w:t>Durviaux S, Treanor J, Beran J, Duval X, Esen M, Feldman G, et al. Genetic and Antigenic Typing of Seasonal Influenza Virus Breakthrough Cases from a 2008-2009 Vaccine Efficacy Trial. Clinical and Vaccine Immunology. 2014;21: 271–279. doi:</w:t>
      </w:r>
      <w:hyperlink r:id="rId12">
        <w:r>
          <w:rPr>
            <w:rStyle w:val="Hyperlink"/>
          </w:rPr>
          <w:t>10.1128/CVI.00544-13</w:t>
        </w:r>
      </w:hyperlink>
    </w:p>
    <w:p w14:paraId="5BE90A76" w14:textId="77777777" w:rsidR="005C592C" w:rsidRDefault="00000000">
      <w:pPr>
        <w:pStyle w:val="Bibliography"/>
      </w:pPr>
      <w:bookmarkStart w:id="13" w:name="ref-anderson2018b"/>
      <w:bookmarkEnd w:id="12"/>
      <w:r>
        <w:t xml:space="preserve">5. </w:t>
      </w:r>
      <w:r>
        <w:tab/>
        <w:t>Anderson CS, McCall PR, Stern HA, Yang H, Topham DJ. Antigenic cartography of H1N1 influenza viruses using sequence-based antigenic distance calculation. BMC Bioinformatics. 2018;19: 51. doi:</w:t>
      </w:r>
      <w:hyperlink r:id="rId13">
        <w:r>
          <w:rPr>
            <w:rStyle w:val="Hyperlink"/>
          </w:rPr>
          <w:t>10.1186/s12859-018-2042-4</w:t>
        </w:r>
      </w:hyperlink>
    </w:p>
    <w:p w14:paraId="16432697" w14:textId="77777777" w:rsidR="005C592C" w:rsidRDefault="00000000">
      <w:pPr>
        <w:pStyle w:val="Bibliography"/>
      </w:pPr>
      <w:bookmarkStart w:id="14" w:name="ref-gupta2006"/>
      <w:bookmarkEnd w:id="13"/>
      <w:r>
        <w:t xml:space="preserve">6. </w:t>
      </w:r>
      <w:r>
        <w:tab/>
        <w:t>Gupta V, Earl DJ, Deem MW. Quantifying influenza vaccine efficacy and antigenic distance. Vaccine. 2006;24: 3881–3888. doi:</w:t>
      </w:r>
      <w:hyperlink r:id="rId14">
        <w:r>
          <w:rPr>
            <w:rStyle w:val="Hyperlink"/>
          </w:rPr>
          <w:t>10.1016/j.vaccine.2006.01.010</w:t>
        </w:r>
      </w:hyperlink>
    </w:p>
    <w:p w14:paraId="292C1A8A" w14:textId="77777777" w:rsidR="005C592C" w:rsidRDefault="00000000">
      <w:pPr>
        <w:pStyle w:val="Bibliography"/>
      </w:pPr>
      <w:bookmarkStart w:id="15" w:name="ref-fonville2016"/>
      <w:bookmarkEnd w:id="14"/>
      <w:r>
        <w:t xml:space="preserve">7. </w:t>
      </w:r>
      <w:r>
        <w:tab/>
        <w:t>Fonville JM, Fraaij PLA, de Mutsert G, Wilks SH, van Beek R, Fouchier RAM, et al. Antigenic Maps of Influenza A(H3N2) Produced With Human Antisera Obtained After Primary Infection. The Journal of Infectious Diseases. 2016;213: 31–38. doi:</w:t>
      </w:r>
      <w:hyperlink r:id="rId15">
        <w:r>
          <w:rPr>
            <w:rStyle w:val="Hyperlink"/>
          </w:rPr>
          <w:t>10.1093/infdis/jiv367</w:t>
        </w:r>
      </w:hyperlink>
    </w:p>
    <w:p w14:paraId="1C02F601" w14:textId="77777777" w:rsidR="005C592C" w:rsidRDefault="00000000">
      <w:pPr>
        <w:pStyle w:val="Bibliography"/>
      </w:pPr>
      <w:bookmarkStart w:id="16" w:name="ref-nunez2017"/>
      <w:bookmarkEnd w:id="15"/>
      <w:r>
        <w:t xml:space="preserve">8. </w:t>
      </w:r>
      <w:r>
        <w:tab/>
        <w:t>Nuñez IA, Carlock MA, Allen JD, Owino SO, Moehling KK, Nowalk P, et al. Impact of age and pre-existing influenza immune responses in humans receiving split inactivated influenza vaccine on the induction of the breadth of antibodies to influenza A strains. PloS One. 2017;12: e0185666. doi:</w:t>
      </w:r>
      <w:hyperlink r:id="rId16">
        <w:r>
          <w:rPr>
            <w:rStyle w:val="Hyperlink"/>
          </w:rPr>
          <w:t>10.1371/journal.pone.0185666</w:t>
        </w:r>
      </w:hyperlink>
    </w:p>
    <w:p w14:paraId="38A43DFC" w14:textId="77777777" w:rsidR="005C592C" w:rsidRDefault="00000000">
      <w:pPr>
        <w:pStyle w:val="Bibliography"/>
      </w:pPr>
      <w:bookmarkStart w:id="17" w:name="ref-abreu2020"/>
      <w:bookmarkEnd w:id="16"/>
      <w:r>
        <w:t xml:space="preserve">9. </w:t>
      </w:r>
      <w:r>
        <w:tab/>
        <w:t>Abreu RB, Clutter EF, Attari S, Sautto GA, Ross TM. IgA Responses Following Recurrent Influenza Virus Vaccination. Frontiers in Immunology. 2020;11. doi:</w:t>
      </w:r>
      <w:hyperlink r:id="rId17">
        <w:r>
          <w:rPr>
            <w:rStyle w:val="Hyperlink"/>
          </w:rPr>
          <w:t>10.3389/fimmu.2020.00902</w:t>
        </w:r>
      </w:hyperlink>
    </w:p>
    <w:p w14:paraId="0FEABA2D" w14:textId="77777777" w:rsidR="005C592C" w:rsidRDefault="00000000">
      <w:pPr>
        <w:pStyle w:val="Bibliography"/>
      </w:pPr>
      <w:bookmarkStart w:id="18" w:name="ref-auladell2022"/>
      <w:bookmarkEnd w:id="17"/>
      <w:r>
        <w:lastRenderedPageBreak/>
        <w:t xml:space="preserve">10. </w:t>
      </w:r>
      <w:r>
        <w:tab/>
        <w:t>Auladell M, Phuong HVM, Mai LTQ, Tseng Y-Y, Carolan L, Wilks S, et al. Influenza virus infection history shapes antibody responses to influenza vaccination. Nature Medicine. 2022;28: 363–372. doi:</w:t>
      </w:r>
      <w:hyperlink r:id="rId18">
        <w:r>
          <w:rPr>
            <w:rStyle w:val="Hyperlink"/>
          </w:rPr>
          <w:t>10.1038/s41591-022-01690-w</w:t>
        </w:r>
      </w:hyperlink>
    </w:p>
    <w:p w14:paraId="3AF50AB8" w14:textId="77777777" w:rsidR="005C592C" w:rsidRDefault="00000000">
      <w:pPr>
        <w:pStyle w:val="Bibliography"/>
      </w:pPr>
      <w:bookmarkStart w:id="19" w:name="ref-wilks2023"/>
      <w:bookmarkEnd w:id="18"/>
      <w:r>
        <w:t xml:space="preserve">11. </w:t>
      </w:r>
      <w:r>
        <w:tab/>
        <w:t xml:space="preserve">Wilks S. Racmacs: Antigenic cartography macros. 2023. </w:t>
      </w:r>
    </w:p>
    <w:p w14:paraId="65A8FB6D" w14:textId="77777777" w:rsidR="005C592C" w:rsidRDefault="00000000">
      <w:pPr>
        <w:pStyle w:val="Bibliography"/>
      </w:pPr>
      <w:bookmarkStart w:id="20" w:name="ref-edgar2004"/>
      <w:bookmarkEnd w:id="19"/>
      <w:r>
        <w:t xml:space="preserve">12. </w:t>
      </w:r>
      <w:r>
        <w:tab/>
        <w:t>Edgar RC. MUSCLE: A multiple sequence alignment method with reduced time and space complexity. BMC Bioinformatics. 2004;5: 113. doi:</w:t>
      </w:r>
      <w:hyperlink r:id="rId19">
        <w:r>
          <w:rPr>
            <w:rStyle w:val="Hyperlink"/>
          </w:rPr>
          <w:t>10.1186/1471-2105-5-113</w:t>
        </w:r>
      </w:hyperlink>
    </w:p>
    <w:p w14:paraId="1EC2627C" w14:textId="77777777" w:rsidR="005C592C" w:rsidRDefault="00000000">
      <w:pPr>
        <w:pStyle w:val="Bibliography"/>
      </w:pPr>
      <w:bookmarkStart w:id="21" w:name="ref-rcoreteam2024"/>
      <w:bookmarkEnd w:id="20"/>
      <w:r>
        <w:t xml:space="preserve">13. </w:t>
      </w:r>
      <w:r>
        <w:tab/>
        <w:t xml:space="preserve">R Core Team. R: A language and environment for statistical computing. Vienna, Austria: R Foundation for Statistical Computing; 2024. </w:t>
      </w:r>
    </w:p>
    <w:p w14:paraId="2248F961" w14:textId="77777777" w:rsidR="005C592C" w:rsidRDefault="00000000">
      <w:pPr>
        <w:pStyle w:val="Bibliography"/>
      </w:pPr>
      <w:bookmarkStart w:id="22" w:name="ref-schliep2011"/>
      <w:bookmarkEnd w:id="21"/>
      <w:r>
        <w:t xml:space="preserve">14. </w:t>
      </w:r>
      <w:r>
        <w:tab/>
        <w:t>Schliep KP. Phangorn: Phylogenetic analysis in R. Bioinformatics (Oxford, England). 2011;27: 592–593. doi:</w:t>
      </w:r>
      <w:hyperlink r:id="rId20">
        <w:r>
          <w:rPr>
            <w:rStyle w:val="Hyperlink"/>
          </w:rPr>
          <w:t>10.1093/bioinformatics/btq706</w:t>
        </w:r>
      </w:hyperlink>
    </w:p>
    <w:p w14:paraId="6493B8E8" w14:textId="77777777" w:rsidR="005C592C" w:rsidRDefault="00000000">
      <w:pPr>
        <w:pStyle w:val="Bibliography"/>
      </w:pPr>
      <w:bookmarkStart w:id="23" w:name="ref-bodenhofer2015"/>
      <w:bookmarkEnd w:id="22"/>
      <w:r>
        <w:t xml:space="preserve">15. </w:t>
      </w:r>
      <w:r>
        <w:tab/>
        <w:t>Bodenhofer U, Bonatesta E, Horejš-Kainrath C, Hochreiter S. Msa: An R package for multiple sequence alignment. Bioinformatics. 2015;31: 3997–3999. doi:</w:t>
      </w:r>
      <w:hyperlink r:id="rId21">
        <w:r>
          <w:rPr>
            <w:rStyle w:val="Hyperlink"/>
          </w:rPr>
          <w:t>10.1093/bioinformatics/btv494</w:t>
        </w:r>
      </w:hyperlink>
      <w:bookmarkEnd w:id="7"/>
      <w:bookmarkEnd w:id="9"/>
      <w:bookmarkEnd w:id="23"/>
    </w:p>
    <w:sectPr w:rsidR="005C592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13BAD" w14:textId="77777777" w:rsidR="00A23156" w:rsidRDefault="00A23156">
      <w:pPr>
        <w:spacing w:after="0"/>
      </w:pPr>
      <w:r>
        <w:separator/>
      </w:r>
    </w:p>
  </w:endnote>
  <w:endnote w:type="continuationSeparator" w:id="0">
    <w:p w14:paraId="78DF95D7" w14:textId="77777777" w:rsidR="00A23156" w:rsidRDefault="00A231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98E49" w14:textId="77777777" w:rsidR="00A23156" w:rsidRDefault="00A23156">
      <w:r>
        <w:separator/>
      </w:r>
    </w:p>
  </w:footnote>
  <w:footnote w:type="continuationSeparator" w:id="0">
    <w:p w14:paraId="1FA370F0" w14:textId="77777777" w:rsidR="00A23156" w:rsidRDefault="00A2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402AA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34476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2C"/>
    <w:rsid w:val="005C592C"/>
    <w:rsid w:val="00A23156"/>
    <w:rsid w:val="00CA5D8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54944"/>
  <w15:docId w15:val="{752A9F1B-ACBF-4FBD-A9DB-9E317419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86/s12859-018-2042-4" TargetMode="External"/><Relationship Id="rId18" Type="http://schemas.openxmlformats.org/officeDocument/2006/relationships/hyperlink" Target="https://doi.org/10.1038/s41591-022-01690-w" TargetMode="External"/><Relationship Id="rId3" Type="http://schemas.openxmlformats.org/officeDocument/2006/relationships/settings" Target="settings.xml"/><Relationship Id="rId21" Type="http://schemas.openxmlformats.org/officeDocument/2006/relationships/hyperlink" Target="https://doi.org/10.1093/bioinformatics/btv494" TargetMode="External"/><Relationship Id="rId7" Type="http://schemas.openxmlformats.org/officeDocument/2006/relationships/image" Target="media/image1.png"/><Relationship Id="rId12" Type="http://schemas.openxmlformats.org/officeDocument/2006/relationships/hyperlink" Target="https://doi.org/10.1128/CVI.00544-13" TargetMode="External"/><Relationship Id="rId17" Type="http://schemas.openxmlformats.org/officeDocument/2006/relationships/hyperlink" Target="https://doi.org/10.3389/fimmu.2020.00902" TargetMode="External"/><Relationship Id="rId2" Type="http://schemas.openxmlformats.org/officeDocument/2006/relationships/styles" Target="styles.xml"/><Relationship Id="rId16" Type="http://schemas.openxmlformats.org/officeDocument/2006/relationships/hyperlink" Target="https://doi.org/10.1371/journal.pone.0185666" TargetMode="External"/><Relationship Id="rId20" Type="http://schemas.openxmlformats.org/officeDocument/2006/relationships/hyperlink" Target="https://doi.org/10.1093/bioinformatics/btq7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71/journal.ppat.1008583" TargetMode="External"/><Relationship Id="rId5" Type="http://schemas.openxmlformats.org/officeDocument/2006/relationships/footnotes" Target="footnotes.xml"/><Relationship Id="rId15" Type="http://schemas.openxmlformats.org/officeDocument/2006/relationships/hyperlink" Target="https://doi.org/10.1093/infdis/jiv367" TargetMode="External"/><Relationship Id="rId23" Type="http://schemas.openxmlformats.org/officeDocument/2006/relationships/theme" Target="theme/theme1.xml"/><Relationship Id="rId10" Type="http://schemas.openxmlformats.org/officeDocument/2006/relationships/hyperlink" Target="https://doi.org/10.1093/infdis/jiy103" TargetMode="External"/><Relationship Id="rId19" Type="http://schemas.openxmlformats.org/officeDocument/2006/relationships/hyperlink" Target="https://doi.org/10.1186/1471-2105-5-113" TargetMode="External"/><Relationship Id="rId4" Type="http://schemas.openxmlformats.org/officeDocument/2006/relationships/webSettings" Target="webSettings.xml"/><Relationship Id="rId9" Type="http://schemas.openxmlformats.org/officeDocument/2006/relationships/hyperlink" Target="https://doi.org/10.1089/vim.2017.0141" TargetMode="External"/><Relationship Id="rId14" Type="http://schemas.openxmlformats.org/officeDocument/2006/relationships/hyperlink" Target="https://doi.org/10.1016/j.vaccine.2006.01.01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1870</Words>
  <Characters>10888</Characters>
  <Application>Microsoft Office Word</Application>
  <DocSecurity>0</DocSecurity>
  <Lines>247</Lines>
  <Paragraphs>125</Paragraphs>
  <ScaleCrop>false</ScaleCrop>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antigenic distance metrics for influenza</dc:title>
  <dc:creator>W. Zane Billings</dc:creator>
  <cp:keywords/>
  <cp:lastModifiedBy>Wesley Billings</cp:lastModifiedBy>
  <cp:revision>1</cp:revision>
  <dcterms:created xsi:type="dcterms:W3CDTF">2024-05-05T23:10:00Z</dcterms:created>
  <dcterms:modified xsi:type="dcterms:W3CDTF">2024-05-05T23:11:00Z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Developing universal influenza vaccines will require improved understanding of how influenza variants differ from each other. We find that temporal distances perform poorly overall, but even sequence distances which match phylogenetic distances well do not match cartographic distances based on actual immune response data.</vt:lpwstr>
  </property>
  <property fmtid="{D5CDD505-2E9C-101B-9397-08002B2CF9AE}" pid="3" name="authors">
    <vt:lpwstr/>
  </property>
  <property fmtid="{D5CDD505-2E9C-101B-9397-08002B2CF9AE}" pid="4" name="biblio-config">
    <vt:lpwstr>True</vt:lpwstr>
  </property>
  <property fmtid="{D5CDD505-2E9C-101B-9397-08002B2CF9AE}" pid="5" name="bibliography">
    <vt:lpwstr>project-refs.bib</vt:lpwstr>
  </property>
  <property fmtid="{D5CDD505-2E9C-101B-9397-08002B2CF9AE}" pid="6" name="by-author">
    <vt:lpwstr/>
  </property>
  <property fmtid="{D5CDD505-2E9C-101B-9397-08002B2CF9AE}" pid="7" name="csl">
    <vt:lpwstr>plos-computational-biology.csl</vt:lpwstr>
  </property>
  <property fmtid="{D5CDD505-2E9C-101B-9397-08002B2CF9AE}" pid="8" name="date">
    <vt:lpwstr>2024-05-05</vt:lpwstr>
  </property>
  <property fmtid="{D5CDD505-2E9C-101B-9397-08002B2CF9AE}" pid="9" name="date-format">
    <vt:lpwstr>iso</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EPID 8200 project</vt:lpwstr>
  </property>
  <property fmtid="{D5CDD505-2E9C-101B-9397-08002B2CF9AE}" pid="16" name="toc-title">
    <vt:lpwstr>Table of contents</vt:lpwstr>
  </property>
  <property fmtid="{D5CDD505-2E9C-101B-9397-08002B2CF9AE}" pid="17" name="GrammarlyDocumentId">
    <vt:lpwstr>12b517d8-a2a0-4e71-9bb7-37400249f5a2</vt:lpwstr>
  </property>
</Properties>
</file>