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31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antigenic distance metrics for influenza</w:t>
      </w:r>
    </w:p>
    <w:p>
      <w:pPr>
        <w:pStyle w:val="Subtitle"/>
      </w:pPr>
      <w:r>
        <w:t xml:space="preserve">EPID 8200 project</w:t>
      </w:r>
    </w:p>
    <w:p>
      <w:pPr>
        <w:pStyle w:val="Author"/>
      </w:pPr>
      <w:r>
        <w:t xml:space="preserve">W. Zane Billings</w:t>
      </w:r>
    </w:p>
    <w:p>
      <w:pPr>
        <w:pStyle w:val="Date"/>
      </w:pPr>
      <w:r>
        <w:t xml:space="preserve">2026-06-04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Developing universal influenza vaccines will require improved understanding</w:t>
      </w:r>
      <w:r>
        <w:t xml:space="preserve"> </w:t>
      </w:r>
      <w:r>
        <w:t xml:space="preserve">of how influenza variants differ from each other.</w:t>
      </w:r>
      <w:r>
        <w:t xml:space="preserve"> </w:t>
      </w:r>
      <w:r>
        <w:t xml:space="preserve">We find that temporal distances perform poorly overall,</w:t>
      </w:r>
      <w:r>
        <w:t xml:space="preserve"> </w:t>
      </w:r>
      <w:r>
        <w:t xml:space="preserve">but even biophysical and epitope-based sequence distances which match</w:t>
      </w:r>
      <w:r>
        <w:t xml:space="preserve"> </w:t>
      </w:r>
      <w:r>
        <w:t xml:space="preserve">phylogenetic distances well do not match cartographic distances based on actual</w:t>
      </w:r>
      <w:r>
        <w:t xml:space="preserve"> </w:t>
      </w:r>
      <w:r>
        <w:t xml:space="preserve">immune response data.</w:t>
      </w:r>
    </w:p>
    <w:p>
      <w:pPr>
        <w:pStyle w:val="FirstParagraph"/>
      </w:pPr>
      <w:r>
        <w:t xml:space="preserve">Influenza A virus causes seasonal epidemics worldwide, primarily driven by</w:t>
      </w:r>
      <w:r>
        <w:t xml:space="preserve"> </w:t>
      </w:r>
      <w:r>
        <w:t xml:space="preserve">continual evolution of the virus under selective pressure by host immunity</w:t>
      </w:r>
      <w:r>
        <w:t xml:space="preserve"> </w:t>
      </w:r>
      <w:r>
        <w:t xml:space="preserve">[1]</w:t>
      </w:r>
      <w:r>
        <w:t xml:space="preserve">. Development of a universal influenza vaccine which can protect</w:t>
      </w:r>
      <w:r>
        <w:t xml:space="preserve"> </w:t>
      </w:r>
      <w:r>
        <w:t xml:space="preserve">against novel strains of influenza has many challenges, including surveillance</w:t>
      </w:r>
      <w:r>
        <w:t xml:space="preserve"> </w:t>
      </w:r>
      <w:r>
        <w:t xml:space="preserve">of new genomic variants and predicting which will be successful</w:t>
      </w:r>
      <w:r>
        <w:t xml:space="preserve"> </w:t>
      </w:r>
      <w:r>
        <w:t xml:space="preserve">[2]</w:t>
      </w:r>
      <w:r>
        <w:t xml:space="preserve">. Statistical modeling and phylodynamic approaches are crucial</w:t>
      </w:r>
      <w:r>
        <w:t xml:space="preserve"> </w:t>
      </w:r>
      <w:r>
        <w:t xml:space="preserve">tools in the development of a more broadly-protective influenza vaccine, but</w:t>
      </w:r>
      <w:r>
        <w:t xml:space="preserve"> </w:t>
      </w:r>
      <w:r>
        <w:t xml:space="preserve">these methods rely on understanding how different each genomic variant of</w:t>
      </w:r>
      <w:r>
        <w:t xml:space="preserve"> </w:t>
      </w:r>
      <w:r>
        <w:t xml:space="preserve">influenza actually is from its predecessors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Many different metrics for assessing the antigenic difference between two</w:t>
      </w:r>
      <w:r>
        <w:t xml:space="preserve"> </w:t>
      </w:r>
      <w:r>
        <w:t xml:space="preserve">influenza strains currently exist, including phylogenetic methods</w:t>
      </w:r>
      <w:r>
        <w:t xml:space="preserve"> </w:t>
      </w:r>
      <w:r>
        <w:t xml:space="preserve">[4]</w:t>
      </w:r>
      <w:r>
        <w:t xml:space="preserve">, sequence distances</w:t>
      </w:r>
      <w:r>
        <w:t xml:space="preserve"> </w:t>
      </w:r>
      <w:r>
        <w:t xml:space="preserve">[5,6]</w:t>
      </w:r>
      <w:r>
        <w:t xml:space="preserve">, and antigenic cartography, which is based on observed</w:t>
      </w:r>
      <w:r>
        <w:t xml:space="preserve"> </w:t>
      </w:r>
      <w:r>
        <w:t xml:space="preserve">immunological data</w:t>
      </w:r>
      <w:r>
        <w:t xml:space="preserve"> </w:t>
      </w:r>
      <w:r>
        <w:t xml:space="preserve">[7]</w:t>
      </w:r>
      <w:r>
        <w:t xml:space="preserve">. To understand the agreement in</w:t>
      </w:r>
      <w:r>
        <w:t xml:space="preserve"> </w:t>
      </w:r>
      <w:r>
        <w:t xml:space="preserve">different distance measurements, we obtained data from a cohort</w:t>
      </w:r>
      <w:r>
        <w:t xml:space="preserve"> </w:t>
      </w:r>
      <w:r>
        <w:t xml:space="preserve">study that has been previously described</w:t>
      </w:r>
      <w:r>
        <w:t xml:space="preserve"> </w:t>
      </w:r>
      <w:r>
        <w:t xml:space="preserve">[8,9]</w:t>
      </w:r>
      <w:r>
        <w:t xml:space="preserve">. Using</w:t>
      </w:r>
      <w:r>
        <w:t xml:space="preserve"> </w:t>
      </w:r>
      <w:r>
        <w:t xml:space="preserve">data from this study, we compared antigenic cartography and sequence methods</w:t>
      </w:r>
      <w:r>
        <w:t xml:space="preserve"> </w:t>
      </w:r>
      <w:r>
        <w:t xml:space="preserve">to phylogenetic</w:t>
      </w:r>
      <w:r>
        <w:t xml:space="preserve"> </w:t>
      </w:r>
      <w:r>
        <w:t xml:space="preserve">methods.</w:t>
      </w:r>
    </w:p>
    <w:bookmarkStart w:id="20" w:name="study-methodology"/>
    <w:p>
      <w:pPr>
        <w:pStyle w:val="Heading1"/>
      </w:pPr>
      <w:r>
        <w:t xml:space="preserve">Study Methodology</w:t>
      </w:r>
    </w:p>
    <w:p>
      <w:pPr>
        <w:pStyle w:val="FirstParagraph"/>
      </w:pPr>
      <w:r>
        <w:t xml:space="preserve">Briefly, our study data</w:t>
      </w:r>
      <w:r>
        <w:t xml:space="preserve"> </w:t>
      </w:r>
      <w:r>
        <w:t xml:space="preserve">[8,9]</w:t>
      </w:r>
      <w:r>
        <w:t xml:space="preserve"> </w:t>
      </w:r>
      <w:r>
        <w:t xml:space="preserve">consisted of volunteers</w:t>
      </w:r>
      <w:r>
        <w:t xml:space="preserve"> </w:t>
      </w:r>
      <w:r>
        <w:t xml:space="preserve">enrolled at three different study sites from 2013 – 2019 who received a</w:t>
      </w:r>
      <w:r>
        <w:t xml:space="preserve"> </w:t>
      </w:r>
      <w:r>
        <w:t xml:space="preserve">FluZone (Sanofi Pasteur) vaccine, and gave pre-vaccination and post-vaccination</w:t>
      </w:r>
      <w:r>
        <w:t xml:space="preserve"> </w:t>
      </w:r>
      <w:r>
        <w:t xml:space="preserve">(21 or 28 day) serum samples. The serum samples were used for HAI assays against</w:t>
      </w:r>
      <w:r>
        <w:t xml:space="preserve"> </w:t>
      </w:r>
      <w:r>
        <w:t xml:space="preserve">a panel of historical viruses. We computed the mean Grantham amino-acid</w:t>
      </w:r>
      <w:r>
        <w:t xml:space="preserve"> </w:t>
      </w:r>
      <w:r>
        <w:t xml:space="preserve">distance per comparable aligned site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m:oMath>
        <m:r>
          <m:t>p</m:t>
        </m:r>
      </m:oMath>
      <w:r>
        <w:t xml:space="preserve">-Epitope distance</w:t>
      </w:r>
      <w:r>
        <w:t xml:space="preserve"> </w:t>
      </w:r>
      <w:r>
        <w:t xml:space="preserve">[6]</w:t>
      </w:r>
      <w:r>
        <w:t xml:space="preserve">, and the absolute difference in the year of isolation of strains</w:t>
      </w:r>
      <w:r>
        <w:t xml:space="preserve"> </w:t>
      </w:r>
      <w:r>
        <w:t xml:space="preserve">[10]</w:t>
      </w:r>
      <w:r>
        <w:t xml:space="preserve"> </w:t>
      </w:r>
      <w:r>
        <w:t xml:space="preserve">from hemagglutinin protein sequences. We restricted the</w:t>
      </w:r>
      <w:r>
        <w:t xml:space="preserve"> </w:t>
      </w:r>
      <w:r>
        <w:t xml:space="preserve">analysis panel to strains present in the stored H1N1 or H3N2 antigenic</w:t>
      </w:r>
      <w:r>
        <w:t xml:space="preserve"> </w:t>
      </w:r>
      <w:r>
        <w:t xml:space="preserve">cartography maps, because comparison with cartographic distance is a central</w:t>
      </w:r>
      <w:r>
        <w:t xml:space="preserve"> </w:t>
      </w:r>
      <w:r>
        <w:t xml:space="preserve">analysis objective. We used Racmacs to compute antigenic cartography distances</w:t>
      </w:r>
      <w:r>
        <w:t xml:space="preserve"> </w:t>
      </w:r>
      <w:r>
        <w:t xml:space="preserve">from the HAI data</w:t>
      </w:r>
      <w:r>
        <w:t xml:space="preserve"> </w:t>
      </w:r>
      <w:r>
        <w:t xml:space="preserve">[11]</w:t>
      </w:r>
      <w:r>
        <w:t xml:space="preserve">. The stored</w:t>
      </w:r>
      <w:r>
        <w:t xml:space="preserve"> </w:t>
      </w:r>
      <w:r>
        <w:rPr>
          <w:rStyle w:val="VerbatimChar"/>
        </w:rPr>
        <w:t xml:space="preserve">.ace</w:t>
      </w:r>
      <w:r>
        <w:t xml:space="preserve"> </w:t>
      </w:r>
      <w:r>
        <w:t xml:space="preserve">maps were treated as</w:t>
      </w:r>
      <w:r>
        <w:t xml:space="preserve"> </w:t>
      </w:r>
      <w:r>
        <w:t xml:space="preserve">first-pass cartography inputs; map dimensionality, strain and serum counts,</w:t>
      </w:r>
      <w:r>
        <w:t xml:space="preserve"> </w:t>
      </w:r>
      <w:r>
        <w:t xml:space="preserve">stored stress, and titer missingness diagnostics are reported in the</w:t>
      </w:r>
      <w:r>
        <w:t xml:space="preserve"> </w:t>
      </w:r>
      <w:r>
        <w:t xml:space="preserve">supplement. A separate manuscript is planned to describe construction of the</w:t>
      </w:r>
      <w:r>
        <w:t xml:space="preserve"> </w:t>
      </w:r>
      <w:r>
        <w:t xml:space="preserve">human-serum antigenic cartographies. Using the same HAI dataset to build the</w:t>
      </w:r>
      <w:r>
        <w:t xml:space="preserve"> </w:t>
      </w:r>
      <w:r>
        <w:t xml:space="preserve">maps and compare cartographic distances is a limitation, but no comparable</w:t>
      </w:r>
      <w:r>
        <w:t xml:space="preserve"> </w:t>
      </w:r>
      <w:r>
        <w:t xml:space="preserve">alternative is currently available for this strain panel. All of our analyses</w:t>
      </w:r>
      <w:r>
        <w:t xml:space="preserve"> </w:t>
      </w:r>
      <w:r>
        <w:t xml:space="preserve">were conducted separately for H1N1 and H3N2 strains.</w:t>
      </w:r>
    </w:p>
    <w:p>
      <w:pPr>
        <w:pStyle w:val="BodyText"/>
      </w:pPr>
      <w:r>
        <w:t xml:space="preserve">In order to compare with phylogenetic methods, we first computed a multiple</w:t>
      </w:r>
      <w:r>
        <w:t xml:space="preserve"> </w:t>
      </w:r>
      <w:r>
        <w:t xml:space="preserve">sequence alignment (MSA) using the MUSCLE algorithm</w:t>
      </w:r>
      <w:r>
        <w:t xml:space="preserve"> </w:t>
      </w:r>
      <w:r>
        <w:t xml:space="preserve">[12]</w:t>
      </w:r>
      <w:r>
        <w:t xml:space="preserve">. The Grantham</w:t>
      </w:r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-Epitope distances were computed based on this MSA. We evaluated</w:t>
      </w:r>
      <w:r>
        <w:t xml:space="preserve"> </w:t>
      </w:r>
      <w:r>
        <w:t xml:space="preserve">alignment sensitivity with alternative ClustalW and ClustalOmega protein</w:t>
      </w:r>
      <w:r>
        <w:t xml:space="preserve"> </w:t>
      </w:r>
      <w:r>
        <w:t xml:space="preserve">alignments in the supplement. For sequence-derived distances, aligned positions</w:t>
      </w:r>
      <w:r>
        <w:t xml:space="preserve"> </w:t>
      </w:r>
      <w:r>
        <w:t xml:space="preserve">containing gaps, ambiguous or missing residue codes, or non-standard</w:t>
      </w:r>
      <w:r>
        <w:t xml:space="preserve"> </w:t>
      </w:r>
      <w:r>
        <w:t xml:space="preserve">amino-acid codes were excluded from the relevant pair-specific denominator</w:t>
      </w:r>
      <w:r>
        <w:t xml:space="preserve"> </w:t>
      </w:r>
      <w:r>
        <w:t xml:space="preserve">rather than treated as zero-distance substitutions.</w:t>
      </w:r>
      <w:r>
        <w:t xml:space="preserve"> </w:t>
      </w:r>
      <w:r>
        <w:t xml:space="preserve">The source sequence table contains full-length</w:t>
      </w:r>
      <w:r>
        <w:t xml:space="preserve"> </w:t>
      </w:r>
      <w:r>
        <w:t xml:space="preserve">flags and accession/source metadata; after alignment, the pipeline checks</w:t>
      </w:r>
      <w:r>
        <w:t xml:space="preserve"> </w:t>
      </w:r>
      <w:r>
        <w:t xml:space="preserve">non-gap protein lengths against the subtype-specific full-length reference</w:t>
      </w:r>
      <w:r>
        <w:t xml:space="preserve"> </w:t>
      </w:r>
      <w:r>
        <w:t xml:space="preserve">rather than relying on strain-name exceptions. We had 18 H1N1 strains and 21</w:t>
      </w:r>
      <w:r>
        <w:t xml:space="preserve"> </w:t>
      </w:r>
      <w:r>
        <w:t xml:space="preserve">H3N2 strains in total. A full inclusion and provenance audit, including source</w:t>
      </w:r>
      <w:r>
        <w:t xml:space="preserve"> </w:t>
      </w:r>
      <w:r>
        <w:t xml:space="preserve">rows excluded because they were absent from the stored cartography maps,</w:t>
      </w:r>
      <w:r>
        <w:t xml:space="preserve"> </w:t>
      </w:r>
      <w:r>
        <w:t xml:space="preserve">source/accession fields, sequence completeness checks, and pair counts, is</w:t>
      </w:r>
      <w:r>
        <w:t xml:space="preserve"> </w:t>
      </w:r>
      <w:r>
        <w:t xml:space="preserve">reported in the supplement. We then used both protein alignments to construct maximum</w:t>
      </w:r>
      <w:r>
        <w:t xml:space="preserve"> </w:t>
      </w:r>
      <w:r>
        <w:t xml:space="preserve">likelihood (ML) unrooted phylogenetic trees using the FLU amino acid</w:t>
      </w:r>
      <w:r>
        <w:t xml:space="preserve"> </w:t>
      </w:r>
      <w:r>
        <w:t xml:space="preserve">substitution model</w:t>
      </w:r>
      <w:r>
        <w:t xml:space="preserve"> </w:t>
      </w:r>
      <w:r>
        <w:t xml:space="preserve">[13]</w:t>
      </w:r>
      <w:r>
        <w:t xml:space="preserve">. For each subtype, we</w:t>
      </w:r>
      <w:r>
        <w:t xml:space="preserve"> </w:t>
      </w:r>
      <w:r>
        <w:t xml:space="preserve">compared FLU-family models with and without invariant sites and discrete gamma</w:t>
      </w:r>
      <w:r>
        <w:t xml:space="preserve"> </w:t>
      </w:r>
      <w:r>
        <w:t xml:space="preserve">rate variation, evaluating gamma category counts from 4 to 32 in increments of</w:t>
      </w:r>
      <w:r>
        <w:t xml:space="preserve"> </w:t>
      </w:r>
      <w:r>
        <w:t xml:space="preserve">4 for the full analysis. Models were compared with AICc</w:t>
      </w:r>
      <w:r>
        <w:t xml:space="preserve"> </w:t>
      </w:r>
      <w:r>
        <w:t xml:space="preserve">[14,15]</w:t>
      </w:r>
      <w:r>
        <w:t xml:space="preserve">. We selected the AICc-supported model within</w:t>
      </w:r>
      <w:r>
        <w:t xml:space="preserve"> </w:t>
      </w:r>
      <w:r>
        <w:t xml:space="preserve">each subtype, but preferred a common model for both subtypes when the common</w:t>
      </w:r>
      <w:r>
        <w:t xml:space="preserve"> </w:t>
      </w:r>
      <w:r>
        <w:t xml:space="preserve">model’s log-likelihood loss was no more than 10% relative to the</w:t>
      </w:r>
      <w:r>
        <w:t xml:space="preserve"> </w:t>
      </w:r>
      <w:r>
        <w:t xml:space="preserve">subtype-specific AICc-supported model. We extracted the</w:t>
      </w:r>
      <w:r>
        <w:t xml:space="preserve"> </w:t>
      </w:r>
      <w:r>
        <w:t xml:space="preserve">cophenetic distances between taxa from the ML trees, and compared these</w:t>
      </w:r>
      <w:r>
        <w:t xml:space="preserve"> </w:t>
      </w:r>
      <w:r>
        <w:t xml:space="preserve">distances to our other distance metrics (temporal, Grantham,</w:t>
      </w:r>
      <w:r>
        <w:t xml:space="preserve"> </w:t>
      </w:r>
      <m:oMath>
        <m:r>
          <m:t>p</m:t>
        </m:r>
      </m:oMath>
      <w:r>
        <w:t xml:space="preserve">-Epitope, and cartography) using Mantel correlations with matrix</w:t>
      </w:r>
      <w:r>
        <w:t xml:space="preserve"> </w:t>
      </w:r>
      <w:r>
        <w:t xml:space="preserve">permutation p-values</w:t>
      </w:r>
      <w:r>
        <w:t xml:space="preserve"> </w:t>
      </w:r>
      <w:r>
        <w:t xml:space="preserve">[16,17]</w:t>
      </w:r>
      <w:r>
        <w:t xml:space="preserve">. These comparisons used only unique off-diagonal</w:t>
      </w:r>
      <w:r>
        <w:t xml:space="preserve"> </w:t>
      </w:r>
      <w:r>
        <w:t xml:space="preserve">strain pairs, excluding duplicate symmetric distances and self-comparisons.</w:t>
      </w:r>
      <w:r>
        <w:t xml:space="preserve"> </w:t>
      </w:r>
      <w:r>
        <w:t xml:space="preserve">We estimated 95% intervals for the Mantel statistic using Bayesian bootstrap</w:t>
      </w:r>
      <w:r>
        <w:t xml:space="preserve"> </w:t>
      </w:r>
      <w:r>
        <w:t xml:space="preserve">resampling over strain units</w:t>
      </w:r>
      <w:r>
        <w:t xml:space="preserve"> </w:t>
      </w:r>
      <w:r>
        <w:t xml:space="preserve">[18]</w:t>
      </w:r>
      <w:r>
        <w:t xml:space="preserve">. To quantify subtype differences,</w:t>
      </w:r>
      <w:r>
        <w:t xml:space="preserve"> </w:t>
      </w:r>
      <w:r>
        <w:t xml:space="preserve">we subtracted the H1N1 Mantel correlation from the H3N2 Mantel correlation for</w:t>
      </w:r>
      <w:r>
        <w:t xml:space="preserve"> </w:t>
      </w:r>
      <w:r>
        <w:t xml:space="preserve">each distance metric, with uncertainty estimated by the same strain-level</w:t>
      </w:r>
      <w:r>
        <w:t xml:space="preserve"> </w:t>
      </w:r>
      <w:r>
        <w:t xml:space="preserve">Bayesian bootstrap. Descriptive Pearson correlations using the same unique</w:t>
      </w:r>
      <w:r>
        <w:t xml:space="preserve"> </w:t>
      </w:r>
      <w:r>
        <w:t xml:space="preserve">off-diagonal pair representation are reported in the supplement for</w:t>
      </w:r>
      <w:r>
        <w:t xml:space="preserve"> </w:t>
      </w:r>
      <w:r>
        <w:t xml:space="preserve">interpretability.</w:t>
      </w:r>
    </w:p>
    <w:p>
      <w:pPr>
        <w:pStyle w:val="BodyText"/>
      </w:pPr>
      <w:r>
        <w:t xml:space="preserve">For each of the four distance metrics, we also built distance-based trees using</w:t>
      </w:r>
      <w:r>
        <w:t xml:space="preserve"> </w:t>
      </w:r>
      <w:r>
        <w:t xml:space="preserve">neighbor joining</w:t>
      </w:r>
      <w:r>
        <w:t xml:space="preserve"> </w:t>
      </w:r>
      <w:r>
        <w:t xml:space="preserve">[19]</w:t>
      </w:r>
      <w:r>
        <w:t xml:space="preserve">. To compare the methods, we</w:t>
      </w:r>
      <w:r>
        <w:t xml:space="preserve"> </w:t>
      </w:r>
      <w:r>
        <w:t xml:space="preserve">calculated the likelihood of each distance-based tree under the selected ML</w:t>
      </w:r>
      <w:r>
        <w:t xml:space="preserve"> </w:t>
      </w:r>
      <w:r>
        <w:t xml:space="preserve">model and treated the decrease in log likelihood from the ML tree as the primary</w:t>
      </w:r>
      <w:r>
        <w:t xml:space="preserve"> </w:t>
      </w:r>
      <w:r>
        <w:t xml:space="preserve">tree-comparison statistic. We did not use a standard likelihood-ratio test</w:t>
      </w:r>
      <w:r>
        <w:t xml:space="preserve"> </w:t>
      </w:r>
      <w:r>
        <w:t xml:space="preserve">because these fixed distance-tree topologies are not nested regular parametric</w:t>
      </w:r>
      <w:r>
        <w:t xml:space="preserve"> </w:t>
      </w:r>
      <w:r>
        <w:t xml:space="preserve">models relative to the optimized ML topology. As secondary checks, we estimated</w:t>
      </w:r>
      <w:r>
        <w:t xml:space="preserve"> </w:t>
      </w:r>
      <w:r>
        <w:t xml:space="preserve">Shimodaira-Hasegawa p-values</w:t>
      </w:r>
      <w:r>
        <w:t xml:space="preserve"> </w:t>
      </w:r>
      <w:r>
        <w:t xml:space="preserve">[20]</w:t>
      </w:r>
      <w:r>
        <w:t xml:space="preserve"> </w:t>
      </w:r>
      <w:r>
        <w:t xml:space="preserve">and computed</w:t>
      </w:r>
      <w:r>
        <w:t xml:space="preserve"> </w:t>
      </w:r>
      <w:r>
        <w:t xml:space="preserve">Robinson-Foulds distances</w:t>
      </w:r>
      <w:r>
        <w:t xml:space="preserve"> </w:t>
      </w:r>
      <w:r>
        <w:t xml:space="preserve">[21]</w:t>
      </w:r>
      <w:r>
        <w:t xml:space="preserve"> </w:t>
      </w:r>
      <w:r>
        <w:t xml:space="preserve">between</w:t>
      </w:r>
      <w:r>
        <w:t xml:space="preserve"> </w:t>
      </w:r>
      <w:r>
        <w:t xml:space="preserve">each distance tree and the ML tree. We also evaluated ML-tree robustness with</w:t>
      </w:r>
      <w:r>
        <w:t xml:space="preserve"> </w:t>
      </w:r>
      <w:r>
        <w:t xml:space="preserve">nonparametric site-bootstrap resampling of the fitted ML tree, reporting</w:t>
      </w:r>
      <w:r>
        <w:t xml:space="preserve"> </w:t>
      </w:r>
      <w:r>
        <w:t xml:space="preserve">internal-branch support and bootstrap topology-stability diagnostics in the</w:t>
      </w:r>
      <w:r>
        <w:t xml:space="preserve"> </w:t>
      </w:r>
      <w:r>
        <w:t xml:space="preserve">supplement. Our analyses were implemented</w:t>
      </w:r>
      <w:r>
        <w:t xml:space="preserve"> </w:t>
      </w:r>
      <w:r>
        <w:t xml:space="preserve">with R version 4.3.3</w:t>
      </w:r>
      <w:r>
        <w:t xml:space="preserve"> </w:t>
      </w:r>
      <w:r>
        <w:t xml:space="preserve">[22]</w:t>
      </w:r>
      <w:r>
        <w:t xml:space="preserve"> </w:t>
      </w:r>
      <w:r>
        <w:t xml:space="preserve">using the packages</w:t>
      </w:r>
      <w:r>
        <w:t xml:space="preserve"> </w:t>
      </w:r>
      <w:r>
        <w:rPr>
          <w:rStyle w:val="VerbatimChar"/>
        </w:rPr>
        <w:t xml:space="preserve">phangorn</w:t>
      </w:r>
      <w:r>
        <w:t xml:space="preserve"> </w:t>
      </w:r>
      <w:r>
        <w:t xml:space="preserve">[15]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msa</w:t>
      </w:r>
      <w:r>
        <w:t xml:space="preserve"> </w:t>
      </w:r>
      <w:r>
        <w:t xml:space="preserve">[23]</w:t>
      </w:r>
      <w:r>
        <w:t xml:space="preserve">.</w:t>
      </w:r>
    </w:p>
    <w:bookmarkEnd w:id="20"/>
    <w:bookmarkStart w:id="37" w:name="study-results"/>
    <w:p>
      <w:pPr>
        <w:pStyle w:val="Heading1"/>
      </w:pPr>
      <w:r>
        <w:t xml:space="preserve">Study Results</w:t>
      </w:r>
    </w:p>
    <w:p>
      <w:pPr>
        <w:pStyle w:val="FirstParagraph"/>
      </w:pPr>
      <w:r>
        <w:t xml:space="preserve">The distance metrics differed in their Mantel agreement with ML-tree cophenetic</w:t>
      </w:r>
      <w:r>
        <w:t xml:space="preserve"> </w:t>
      </w:r>
      <w:r>
        <w:t xml:space="preserve">distance (</w:t>
      </w:r>
      <w:hyperlink w:anchor="fig-corr">
        <w:r>
          <w:rPr>
            <w:rStyle w:val="Hyperlink"/>
          </w:rPr>
          <w:t xml:space="preserve">Figure 1</w:t>
        </w:r>
      </w:hyperlink>
      <w:r>
        <w:t xml:space="preserve">;</w:t>
      </w:r>
      <w:r>
        <w:t xml:space="preserve"> </w:t>
      </w:r>
      <w:hyperlink w:anchor="tbl-distance-correlations">
        <w:r>
          <w:rPr>
            <w:rStyle w:val="Hyperlink"/>
          </w:rPr>
          <w:t xml:space="preserve">Table 1</w:t>
        </w:r>
      </w:hyperlink>
      <w:r>
        <w:t xml:space="preserve">). Grantham and</w:t>
      </w:r>
      <w:r>
        <w:t xml:space="preserve"> </w:t>
      </w:r>
      <m:oMath>
        <m:r>
          <m:t>p</m:t>
        </m:r>
      </m:oMath>
      <w:r>
        <w:t xml:space="preserve">-Epitope</w:t>
      </w:r>
      <w:r>
        <w:t xml:space="preserve"> </w:t>
      </w:r>
      <w:r>
        <w:t xml:space="preserve">distances were strongly associated with ML-tree distance for both subtypes,</w:t>
      </w:r>
      <w:r>
        <w:t xml:space="preserve"> </w:t>
      </w:r>
      <w:r>
        <w:t xml:space="preserve">while cartographic distance had lower matrix correlations. Temporal distance was</w:t>
      </w:r>
      <w:r>
        <w:t xml:space="preserve"> </w:t>
      </w:r>
      <w:r>
        <w:t xml:space="preserve">strongly associated with ML-tree distance for H3N2, but not for H1N1. H1N1 has</w:t>
      </w:r>
      <w:r>
        <w:t xml:space="preserve"> </w:t>
      </w:r>
      <w:r>
        <w:t xml:space="preserve">two clusters, 2009 pandemic-like (pdm) and non-pdm. The pdm-like strains are</w:t>
      </w:r>
      <w:r>
        <w:t xml:space="preserve"> </w:t>
      </w:r>
      <w:r>
        <w:t xml:space="preserve">genetically more similar to the 1918 pandemic strain than to most strains which</w:t>
      </w:r>
      <w:r>
        <w:t xml:space="preserve"> </w:t>
      </w:r>
      <w:r>
        <w:t xml:space="preserve">circulated from 1950 – 2009, so a simple temporal-distance comparison can be</w:t>
      </w:r>
      <w:r>
        <w:t xml:space="preserve"> </w:t>
      </w:r>
      <w:r>
        <w:t xml:space="preserve">weak for H1N1.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rr"/>
          <w:p>
            <w:pPr>
              <w:pStyle w:val="Compact"/>
              <w:jc w:val="center"/>
            </w:pPr>
            <w:r>
              <w:drawing>
                <wp:inline>
                  <wp:extent cx="5334000" cy="44450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../results/Figures/corr-plot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445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Scatterplots showing min-max normalized cophenetic tree distance on the</w:t>
            </w:r>
            <w:r>
              <w:t xml:space="preserve"> </w:t>
            </w:r>
            <w:r>
              <w:t xml:space="preserve">x-axis and each min-max normalized distance metric on the y-axis. Points</w:t>
            </w:r>
            <w:r>
              <w:t xml:space="preserve"> </w:t>
            </w:r>
            <w:r>
              <w:t xml:space="preserve">are unique off-diagonal strain pairs and are colored by subtype.</w:t>
            </w:r>
          </w:p>
          <w:bookmarkEnd w:id="2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distance-correlation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Mantel correlations between each distance metric and ML-tree cophenetic distance, overall and by subtype. Intervals are Bayesian bootstrap 95% intervals over strain units. P-values are two-sided matrix-permutation p-values for the observed strain panel.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2551"/>
              <w:gridCol w:w="1108"/>
              <w:gridCol w:w="2550"/>
              <w:gridCol w:w="1205"/>
              <w:gridCol w:w="1536"/>
              <w:gridCol w:w="2379"/>
              <w:gridCol w:w="1707"/>
            </w:tblGrid>
            <w:tr>
              <w:trPr>
                <w:trHeight w:val="615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Comparison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Scope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Pairwise comparisons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Mantel r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95% CI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Permutation p-value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Permutations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 w:val="restart"/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Temporal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Overall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0.52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(0.41, 0.68)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99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(0.02, 0.51)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0.070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99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(0.98, 0.99)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99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 w:val="restart"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Grantham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Overall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(0.92, 0.98)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99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(0.97, 0.99)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99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(0.82, 0.96)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99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 w:val="restart"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p-Epitope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Overall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(0.91, 0.95)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99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(0.91, 0.96)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99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(0.88, 0.96)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99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 w:val="restart"/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Cartographic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Overall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(0.29, 0.63)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99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(0.05, 0.55)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99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(0.74, 0.90)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99</w:t>
                  </w:r>
                </w:p>
              </w:tc>
            </w:tr>
          </w:tbl>
          <w:bookmarkEnd w:id="25"/>
        </w:tc>
      </w:tr>
    </w:tbl>
    <w:p>
      <w:pPr>
        <w:pStyle w:val="BodyText"/>
      </w:pPr>
      <w:r>
        <w:t xml:space="preserve">Subtype contrasts quantify these patterns directly (</w:t>
      </w:r>
      <w:hyperlink w:anchor="fig-subtype-contrasts">
        <w:r>
          <w:rPr>
            <w:rStyle w:val="Hyperlink"/>
          </w:rPr>
          <w:t xml:space="preserve">Figure 2</w:t>
        </w:r>
      </w:hyperlink>
      <w:r>
        <w:t xml:space="preserve">;</w:t>
      </w:r>
      <w:r>
        <w:t xml:space="preserve"> </w:t>
      </w:r>
      <w:hyperlink w:anchor="tbl-subtype-contrasts">
        <w:r>
          <w:rPr>
            <w:rStyle w:val="Hyperlink"/>
          </w:rPr>
          <w:t xml:space="preserve">Table 2</w:t>
        </w:r>
      </w:hyperlink>
      <w:r>
        <w:t xml:space="preserve">). Temporal distance and cartographic distance had larger</w:t>
      </w:r>
      <w:r>
        <w:t xml:space="preserve"> </w:t>
      </w:r>
      <w:r>
        <w:t xml:space="preserve">H3N2-than-H1N1 Mantel correlations in this strain panel, while the</w:t>
      </w:r>
      <w:r>
        <w:t xml:space="preserve"> </w:t>
      </w:r>
      <w:r>
        <w:t xml:space="preserve">sequence-derived contrasts were smaller.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subtype-contrasts"/>
          <w:p>
            <w:pPr>
              <w:pStyle w:val="Compact"/>
              <w:jc w:val="center"/>
            </w:pPr>
            <w:r>
              <w:drawing>
                <wp:inline>
                  <wp:extent cx="5334000" cy="30480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../results/Figures/subtype-mantel-contrast-plot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4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Subtype contrasts in Mantel correlation between each distance metric and</w:t>
            </w:r>
            <w:r>
              <w:t xml:space="preserve"> </w:t>
            </w:r>
            <w:r>
              <w:t xml:space="preserve">ML-tree cophenetic distance. Points are H3N2 minus H1N1 differences, with</w:t>
            </w:r>
            <w:r>
              <w:t xml:space="preserve"> </w:t>
            </w:r>
            <w:r>
              <w:t xml:space="preserve">95% Bayesian bootstrap intervals over strain units.</w:t>
            </w:r>
          </w:p>
          <w:bookmarkEnd w:id="29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tbl-subtype-contrast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2: H1N1 and H3N2 Mantel correlations and their subtype contrast for each distance metric. Differences are H3N2 minus H1N1. Intervals are Bayesian bootstrap 95% intervals over strain units.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2551"/>
              <w:gridCol w:w="3149"/>
              <w:gridCol w:w="3149"/>
              <w:gridCol w:w="1829"/>
              <w:gridCol w:w="1829"/>
              <w:gridCol w:w="2941"/>
              <w:gridCol w:w="1682"/>
              <w:gridCol w:w="2000"/>
            </w:tblGrid>
            <w:tr>
              <w:trPr>
                <w:trHeight w:val="617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Comparison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 pairwise comparisons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 pairwise comparisons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 Mantel r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 Mantel r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Difference (H3N2 - H1N1)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95% CI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Bootstrap draws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Temporal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0.24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0.75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(0.53, 0.95)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199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Grantham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(-0.15, -0.02)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199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p-Epitope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(-0.05, 0.04)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199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Cartographic distance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(0.19, 0.81)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199</w:t>
                  </w:r>
                </w:p>
              </w:tc>
            </w:tr>
          </w:tbl>
          <w:bookmarkEnd w:id="30"/>
        </w:tc>
      </w:tr>
    </w:tbl>
    <w:bookmarkStart w:id="36" w:name="sensitivity-analyses"/>
    <w:p>
      <w:pPr>
        <w:pStyle w:val="Heading2"/>
      </w:pPr>
      <w:r>
        <w:t xml:space="preserve">Sensitivity analyses</w:t>
      </w:r>
    </w:p>
    <w:p>
      <w:pPr>
        <w:pStyle w:val="FirstParagraph"/>
      </w:pPr>
      <w:r>
        <w:t xml:space="preserve">We evaluated leave-one-strain-out influence by removing each strain within</w:t>
      </w:r>
      <w:r>
        <w:t xml:space="preserve"> </w:t>
      </w:r>
      <w:r>
        <w:t xml:space="preserve">subtype from the existing distance matrices and recomputing the Mantel</w:t>
      </w:r>
      <w:r>
        <w:t xml:space="preserve"> </w:t>
      </w:r>
      <w:r>
        <w:t xml:space="preserve">association between ML-tree cophenetic distance and each candidate distance</w:t>
      </w:r>
      <w:r>
        <w:t xml:space="preserve"> </w:t>
      </w:r>
      <w:r>
        <w:t xml:space="preserve">metric. This sensitivity analysis flags removals that change the correlation by</w:t>
      </w:r>
      <w:r>
        <w:t xml:space="preserve"> </w:t>
      </w:r>
      <w:r>
        <w:t xml:space="preserve">at least 0.10 absolute correlation units and is reported in the supplement. The</w:t>
      </w:r>
      <w:r>
        <w:t xml:space="preserve"> </w:t>
      </w:r>
      <w:r>
        <w:t xml:space="preserve">analysis is intended to diagnose whether subtype-specific distance-matrix</w:t>
      </w:r>
      <w:r>
        <w:t xml:space="preserve"> </w:t>
      </w:r>
      <w:r>
        <w:t xml:space="preserve">associations are driven by individual strains; it does not refit the sequence</w:t>
      </w:r>
      <w:r>
        <w:t xml:space="preserve"> </w:t>
      </w:r>
      <w:r>
        <w:t xml:space="preserve">alignment, ML tree, or cartography map after each removal.</w:t>
      </w:r>
    </w:p>
    <w:p>
      <w:pPr>
        <w:pStyle w:val="BodyText"/>
      </w:pPr>
      <w:r>
        <w:t xml:space="preserve">We also evaluated sequence-completeness and missing-data assumptions directly.</w:t>
      </w:r>
      <w:r>
        <w:t xml:space="preserve"> </w:t>
      </w:r>
      <w:r>
        <w:t xml:space="preserve">This targeted audit identifies non-full-length included strains, compares the</w:t>
      </w:r>
      <w:r>
        <w:t xml:space="preserve"> </w:t>
      </w:r>
      <w:r>
        <w:t xml:space="preserve">existing matrix associations with associations after excluding non-full-length</w:t>
      </w:r>
      <w:r>
        <w:t xml:space="preserve"> </w:t>
      </w:r>
      <w:r>
        <w:t xml:space="preserve">strains, and compares the primary pairwise-deletion rule for sequence-derived</w:t>
      </w:r>
      <w:r>
        <w:t xml:space="preserve"> </w:t>
      </w:r>
      <w:r>
        <w:t xml:space="preserve">distances with a complete-deletion rule that removes non-comparable sites across</w:t>
      </w:r>
      <w:r>
        <w:t xml:space="preserve"> </w:t>
      </w:r>
      <w:r>
        <w:t xml:space="preserve">all included strains within subtype. These sensitivity outputs are reported in</w:t>
      </w:r>
      <w:r>
        <w:t xml:space="preserve"> </w:t>
      </w:r>
      <w:r>
        <w:t xml:space="preserve">the supplement and do not refit alignments, ML trees, or cartography maps. In</w:t>
      </w:r>
      <w:r>
        <w:t xml:space="preserve"> </w:t>
      </w:r>
      <w:r>
        <w:t xml:space="preserve">the current pipeline outputs, these targeted checks did not exceed the</w:t>
      </w:r>
      <w:r>
        <w:t xml:space="preserve"> </w:t>
      </w:r>
      <w:r>
        <w:t xml:space="preserve">prespecified 0.10 absolute-change flag threshold; full-mode outputs should be</w:t>
      </w:r>
      <w:r>
        <w:t xml:space="preserve"> </w:t>
      </w:r>
      <w:r>
        <w:t xml:space="preserve">reviewed before final publication-scale interpretation.</w:t>
      </w:r>
    </w:p>
    <w:p>
      <w:pPr>
        <w:pStyle w:val="BodyText"/>
      </w:pPr>
      <w:r>
        <w:t xml:space="preserve">Finally, we evaluated whether the matrix-association results for</w:t>
      </w:r>
      <w:r>
        <w:t xml:space="preserve"> </w:t>
      </w:r>
      <w:r>
        <w:t xml:space="preserve">sequence-derived distances depend on the primary MUSCLE amino-acid alignment.</w:t>
      </w:r>
      <w:r>
        <w:t xml:space="preserve"> </w:t>
      </w:r>
      <w:r>
        <w:t xml:space="preserve">This sensitivity analysis recomputes Grantham and</w:t>
      </w:r>
      <w:r>
        <w:t xml:space="preserve"> </w:t>
      </w:r>
      <m:oMath>
        <m:r>
          <m:t>p</m:t>
        </m:r>
      </m:oMath>
      <w:r>
        <w:t xml:space="preserve">-Epitope distance</w:t>
      </w:r>
      <w:r>
        <w:t xml:space="preserve"> </w:t>
      </w:r>
      <w:r>
        <w:t xml:space="preserve">matrices under ClustalW and ClustalOmega alignments, then compares those</w:t>
      </w:r>
      <w:r>
        <w:t xml:space="preserve"> </w:t>
      </w:r>
      <w:r>
        <w:t xml:space="preserve">distance matrices with the existing primary ML-tree cophenetic distances. It</w:t>
      </w:r>
      <w:r>
        <w:t xml:space="preserve"> </w:t>
      </w:r>
      <w:r>
        <w:t xml:space="preserve">does not refit ML trees, distance-based trees, or cartography maps under the</w:t>
      </w:r>
      <w:r>
        <w:t xml:space="preserve"> </w:t>
      </w:r>
      <w:r>
        <w:t xml:space="preserve">alternative alignments. We also compare FLU-family model-test results across</w:t>
      </w:r>
      <w:r>
        <w:t xml:space="preserve"> </w:t>
      </w:r>
      <w:r>
        <w:t xml:space="preserve">alignments and flag cases where the primary selected model is no longer within</w:t>
      </w:r>
      <w:r>
        <w:t xml:space="preserve"> </w:t>
      </w:r>
      <w:r>
        <w:t xml:space="preserve">the approved model-performance tolerance. These outputs are reported in the</w:t>
      </w:r>
      <w:r>
        <w:t xml:space="preserve"> </w:t>
      </w:r>
      <w:r>
        <w:t xml:space="preserve">supplement.</w:t>
      </w:r>
    </w:p>
    <w:p>
      <w:pPr>
        <w:pStyle w:val="BodyText"/>
      </w:pPr>
      <w:r>
        <w:t xml:space="preserve">We also computed supplementary secondary sequence-distance metrics: amino-acid</w:t>
      </w:r>
      <w:r>
        <w:t xml:space="preserve"> </w:t>
      </w:r>
      <w:r>
        <w:t xml:space="preserve">Hamming distance, normalized optimal string alignment distance,</w:t>
      </w:r>
      <w:r>
        <w:t xml:space="preserve"> </w:t>
      </w:r>
      <m:oMath>
        <m:r>
          <m:t>p</m:t>
        </m:r>
      </m:oMath>
      <w:r>
        <w:t xml:space="preserve">-all-epitope distance, and a BLOSUM62-derived dissimilarity. These metrics</w:t>
      </w:r>
      <w:r>
        <w:t xml:space="preserve"> </w:t>
      </w:r>
      <w:r>
        <w:t xml:space="preserve">are intended to complement, not replace, the primary temporal, Grantham,</w:t>
      </w:r>
      <w:r>
        <w:t xml:space="preserve"> </w:t>
      </w:r>
      <m:oMath>
        <m:r>
          <m:t>p</m:t>
        </m:r>
      </m:oMath>
      <w:r>
        <w:t xml:space="preserve">-Epitope, and cartographic comparisons. They are reported in the supplement</w:t>
      </w:r>
      <w:r>
        <w:t xml:space="preserve"> </w:t>
      </w:r>
      <w:r>
        <w:t xml:space="preserve">as sensitivity outputs only; because the current regenerated outputs use</w:t>
      </w:r>
      <w:r>
        <w:t xml:space="preserve"> </w:t>
      </w:r>
      <w:r>
        <w:t xml:space="preserve">test-mode settings, we do not interpret the secondary-metric results here.</w:t>
      </w:r>
      <w:r>
        <w:t xml:space="preserve"> </w:t>
      </w:r>
      <w:r>
        <w:t xml:space="preserve">Unless full-mode outputs show a major difference, these secondary distances</w:t>
      </w:r>
      <w:r>
        <w:t xml:space="preserve"> </w:t>
      </w:r>
      <w:r>
        <w:t xml:space="preserve">will not be used to build distance-based neighbor-joining trees.</w:t>
      </w:r>
    </w:p>
    <w:p>
      <w:pPr>
        <w:pStyle w:val="BodyText"/>
      </w:pPr>
      <w:r>
        <w:t xml:space="preserve">The cartographic Mantel correlation for H1N1 is also moderate, indicating that</w:t>
      </w:r>
      <w:r>
        <w:t xml:space="preserve"> </w:t>
      </w:r>
      <w:r>
        <w:t xml:space="preserve">the evolutionary pattern of H1N1 strains does not necessarily explain variation</w:t>
      </w:r>
      <w:r>
        <w:t xml:space="preserve"> </w:t>
      </w:r>
      <w:r>
        <w:t xml:space="preserve">in observed immune responses. For H3N2, the cartographic correlation was the</w:t>
      </w:r>
      <w:r>
        <w:t xml:space="preserve"> </w:t>
      </w:r>
      <w:r>
        <w:t xml:space="preserve">lowest, and the two distances become less correlated as the distance values</w:t>
      </w:r>
      <w:r>
        <w:t xml:space="preserve"> </w:t>
      </w:r>
      <w:r>
        <w:t xml:space="preserve">become larger. For closely related H3N2 strains the ability of the tree distance</w:t>
      </w:r>
      <w:r>
        <w:t xml:space="preserve"> </w:t>
      </w:r>
      <w:r>
        <w:t xml:space="preserve">to predict differences in immune response appears to attenuate as strains drift</w:t>
      </w:r>
      <w:r>
        <w:t xml:space="preserve"> </w:t>
      </w:r>
      <w:r>
        <w:t xml:space="preserve">further away.</w:t>
      </w:r>
    </w:p>
    <w:p>
      <w:pPr>
        <w:pStyle w:val="BodyText"/>
      </w:pPr>
      <w:r>
        <w:t xml:space="preserve">The ML trees for both subtypes were able to reconstruct the</w:t>
      </w:r>
      <w:r>
        <w:t xml:space="preserve"> </w:t>
      </w:r>
      <w:r>
        <w:t xml:space="preserve">patterns we expect for H1N1 and H3N2 influenza (</w:t>
      </w:r>
      <w:hyperlink w:anchor="fig-mltrees">
        <w:r>
          <w:rPr>
            <w:rStyle w:val="Hyperlink"/>
          </w:rPr>
          <w:t xml:space="preserve">Figure 3</w:t>
        </w:r>
      </w:hyperlink>
      <w:r>
        <w:t xml:space="preserve">). The H1N1</w:t>
      </w:r>
      <w:r>
        <w:t xml:space="preserve"> </w:t>
      </w:r>
      <w:r>
        <w:t xml:space="preserve">strains form two clades, one pdm-like clade which contains SC/18 (the 1918</w:t>
      </w:r>
      <w:r>
        <w:t xml:space="preserve"> </w:t>
      </w:r>
      <w:r>
        <w:t xml:space="preserve">pandemic strain), NJ/76 swine influenza, and the modern pdm-like strains. The</w:t>
      </w:r>
      <w:r>
        <w:t xml:space="preserve"> </w:t>
      </w:r>
      <w:r>
        <w:t xml:space="preserve">other clade contains the H1N1 strains which circulated between the 1918 pandemic</w:t>
      </w:r>
      <w:r>
        <w:t xml:space="preserve"> </w:t>
      </w:r>
      <w:r>
        <w:t xml:space="preserve">and the 2009 pandemic. The H3N2</w:t>
      </w:r>
      <w:r>
        <w:t xml:space="preserve"> </w:t>
      </w:r>
      <w:r>
        <w:t xml:space="preserve">strains tend to follow a similar ladder-like pattern, beginning with HK/68 and</w:t>
      </w:r>
      <w:r>
        <w:t xml:space="preserve"> </w:t>
      </w:r>
      <w:r>
        <w:t xml:space="preserve">primarily separating by temporal distance, which corroborates the associations</w:t>
      </w:r>
      <w:r>
        <w:t xml:space="preserve"> </w:t>
      </w:r>
      <w:r>
        <w:t xml:space="preserve">between temporal and cophenetic distance (</w:t>
      </w:r>
      <w:hyperlink w:anchor="fig-corr">
        <w:r>
          <w:rPr>
            <w:rStyle w:val="Hyperlink"/>
          </w:rPr>
          <w:t xml:space="preserve">Figure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mltrees"/>
          <w:p>
            <w:pPr>
              <w:pStyle w:val="Compact"/>
              <w:jc w:val="center"/>
            </w:pPr>
            <w:r>
              <w:drawing>
                <wp:inline>
                  <wp:extent cx="5334000" cy="266630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../results/Figures/ml-trees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663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Maximum likelihood phylogenetic trees for H1N1 strains (left) and H3N2</w:t>
            </w:r>
            <w:r>
              <w:t xml:space="preserve"> </w:t>
            </w:r>
            <w:r>
              <w:t xml:space="preserve">strains (right). Both trees are rooted at the midpoint for display</w:t>
            </w:r>
            <w:r>
              <w:t xml:space="preserve"> </w:t>
            </w:r>
            <w:r>
              <w:t xml:space="preserve">purposes, but the root was not optimized during fitting.</w:t>
            </w:r>
          </w:p>
          <w:bookmarkEnd w:id="34"/>
        </w:tc>
      </w:tr>
    </w:tbl>
    <w:p>
      <w:pPr>
        <w:pStyle w:val="BodyText"/>
      </w:pPr>
      <w:r>
        <w:t xml:space="preserve">For brevity, we do not show all 8 of the distance-based neighbor joining</w:t>
      </w:r>
      <w:r>
        <w:t xml:space="preserve"> </w:t>
      </w:r>
      <w:r>
        <w:t xml:space="preserve">phylogenies. Instead, we summarize their likelihood support relative to the ML</w:t>
      </w:r>
      <w:r>
        <w:t xml:space="preserve"> </w:t>
      </w:r>
      <w:r>
        <w:t xml:space="preserve">tree, with SH p-values and RF distances as secondary checks</w:t>
      </w:r>
      <w:r>
        <w:t xml:space="preserve"> </w:t>
      </w:r>
      <w:r>
        <w:t xml:space="preserve">(</w:t>
      </w:r>
      <w:hyperlink w:anchor="tbl-tree-comparison">
        <w:r>
          <w:rPr>
            <w:rStyle w:val="Hyperlink"/>
          </w:rPr>
          <w:t xml:space="preserve">Table 3</w:t>
        </w:r>
      </w:hyperlink>
      <w:r>
        <w:t xml:space="preserve">). For the H1N1 strains, the temporal and cartographic</w:t>
      </w:r>
      <w:r>
        <w:t xml:space="preserve"> </w:t>
      </w:r>
      <w:r>
        <w:t xml:space="preserve">distance trees had larger decreases in log likelihood than the Grantham and</w:t>
      </w:r>
      <w:r>
        <w:t xml:space="preserve"> </w:t>
      </w:r>
      <m:oMath>
        <m:r>
          <m:t>p</m:t>
        </m:r>
      </m:oMath>
      <w:r>
        <w:t xml:space="preserve">-Epitope distance trees. For the H3N2 strains, the cartographic tree had the</w:t>
      </w:r>
      <w:r>
        <w:t xml:space="preserve"> </w:t>
      </w:r>
      <w:r>
        <w:t xml:space="preserve">largest likelihood decrease, while the temporal and Grantham distance trees</w:t>
      </w:r>
      <w:r>
        <w:t xml:space="preserve"> </w:t>
      </w:r>
      <w:r>
        <w:t xml:space="preserve">remained closer to the ML tree. The temporal distance tree was therefore much</w:t>
      </w:r>
      <w:r>
        <w:t xml:space="preserve"> </w:t>
      </w:r>
      <w:r>
        <w:t xml:space="preserve">less compatible with the sequence alignment for H1N1 than for H3N2, consistent</w:t>
      </w:r>
      <w:r>
        <w:t xml:space="preserve"> </w:t>
      </w:r>
      <w:r>
        <w:t xml:space="preserve">with the subtype-specific temporal patterns above. ML-tree branch support and</w:t>
      </w:r>
      <w:r>
        <w:t xml:space="preserve"> </w:t>
      </w:r>
      <w:r>
        <w:t xml:space="preserve">bootstrap topology-stability summaries are reported in the supplement as</w:t>
      </w:r>
      <w:r>
        <w:t xml:space="preserve"> </w:t>
      </w:r>
      <w:r>
        <w:t xml:space="preserve">robustness diagnostics; those values should be interpreted from full-mode</w:t>
      </w:r>
      <w:r>
        <w:t xml:space="preserve"> </w:t>
      </w:r>
      <w:r>
        <w:t xml:space="preserve">pipeline outputs rather than reduced test-mode runs.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tbl-tree-comparison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3: Distance-tree likelihood comparison against the optimized ML tree. Delta log likelihood is the decrease in log likelihood from the ML tree. SH p-values and RF distances are secondary topology checks.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1080"/>
              <w:gridCol w:w="2160"/>
              <w:gridCol w:w="1440"/>
              <w:gridCol w:w="1440"/>
              <w:gridCol w:w="1440"/>
              <w:gridCol w:w="1440"/>
              <w:gridCol w:w="1440"/>
            </w:tblGrid>
            <w:tr>
              <w:trPr>
                <w:trHeight w:val="617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Subtype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Distance tree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Delta log likelihood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Tree log likelihood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ML log likelihood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SH p-value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RF distance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 w:val="restart"/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H1N1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Temporal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1160.4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-4629.2</w:t>
                  </w:r>
                </w:p>
              </w:tc>
              <w:tc>
                <w:tcPr>
                  <w:vMerge w:val="restart"/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-3468.8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 0.001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</w:t>
                  </w:r>
                </w:p>
              </w:tc>
            </w:tr>
            <w:tr>
              <w:trPr>
                <w:trHeight w:val="574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Grantham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-3498.0</w:t>
                  </w: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0.450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p-Epitope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78.8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-3547.6</w:t>
                  </w: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0.230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Cartographic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395.1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-3863.9</w:t>
                  </w: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 0.001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 w:val="restart"/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H3N2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Temporal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220.1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-3288.5</w:t>
                  </w:r>
                </w:p>
              </w:tc>
              <w:tc>
                <w:tcPr>
                  <w:vMerge w:val="restart"/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-3068.5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 0.001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</w:t>
                  </w:r>
                </w:p>
              </w:tc>
            </w:tr>
            <w:tr>
              <w:trPr>
                <w:trHeight w:val="574" w:hRule="auto"/>
              </w:trPr>
              <w:tc>
                <w:tcPr>
                  <w:vMerge/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Grantham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61.3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-3129.8</w:t>
                  </w:r>
                </w:p>
              </w:tc>
              <w:tc>
                <w:tcPr>
                  <w:vMerge/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0.140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p-Epitope distance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78.9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-3147.4</w:t>
                  </w:r>
                </w:p>
              </w:tc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0.070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vMerge/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Cartographic distance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384.0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-3452.4</w:t>
                  </w:r>
                </w:p>
              </w:tc>
              <w:tc>
                <w:tcPr>
                  <w:vMerge/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 0.001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</w:t>
                  </w:r>
                </w:p>
              </w:tc>
            </w:tr>
          </w:tbl>
          <w:bookmarkEnd w:id="35"/>
        </w:tc>
      </w:tr>
    </w:tbl>
    <w:bookmarkEnd w:id="36"/>
    <w:bookmarkEnd w:id="37"/>
    <w:bookmarkStart w:id="38" w:name="conclusions"/>
    <w:p>
      <w:pPr>
        <w:pStyle w:val="Heading1"/>
      </w:pPr>
      <w:r>
        <w:t xml:space="preserve">Conclusions</w:t>
      </w:r>
    </w:p>
    <w:p>
      <w:pPr>
        <w:pStyle w:val="FirstParagraph"/>
      </w:pPr>
      <w:r>
        <w:t xml:space="preserve">Many papers still use the temporal method for calculating antigenic distance.</w:t>
      </w:r>
      <w:r>
        <w:t xml:space="preserve"> </w:t>
      </w:r>
      <w:r>
        <w:t xml:space="preserve">However, temporal distance was not equally informative across subtypes: it was</w:t>
      </w:r>
      <w:r>
        <w:t xml:space="preserve"> </w:t>
      </w:r>
      <w:r>
        <w:t xml:space="preserve">similar to ML-tree distance for H3N2 but performed poorly for H1N1.</w:t>
      </w:r>
      <w:r>
        <w:t xml:space="preserve"> </w:t>
      </w:r>
      <w:r>
        <w:t xml:space="preserve">The Grantham and</w:t>
      </w:r>
      <w:r>
        <w:t xml:space="preserve"> </w:t>
      </w:r>
      <m:oMath>
        <m:r>
          <m:t>p</m:t>
        </m:r>
      </m:oMath>
      <w:r>
        <w:t xml:space="preserve">-Epitope distances provide complementary sequence-derived</w:t>
      </w:r>
      <w:r>
        <w:t xml:space="preserve"> </w:t>
      </w:r>
      <w:r>
        <w:t xml:space="preserve">comparisons because Grantham weights amino-acid substitutions by</w:t>
      </w:r>
      <w:r>
        <w:t xml:space="preserve"> </w:t>
      </w:r>
      <w:r>
        <w:t xml:space="preserve">physicochemical difference, while</w:t>
      </w:r>
      <w:r>
        <w:t xml:space="preserve"> </w:t>
      </w:r>
      <m:oMath>
        <m:r>
          <m:t>p</m:t>
        </m:r>
      </m:oMath>
      <w:r>
        <w:t xml:space="preserve">-Epitope distance focuses on dominant</w:t>
      </w:r>
      <w:r>
        <w:t xml:space="preserve"> </w:t>
      </w:r>
      <w:r>
        <w:t xml:space="preserve">epitope-level mismatch.</w:t>
      </w:r>
    </w:p>
    <w:p>
      <w:pPr>
        <w:pStyle w:val="BodyText"/>
      </w:pPr>
      <w:r>
        <w:t xml:space="preserve">The cartographic distance tree was substantially different from the ML tree for</w:t>
      </w:r>
      <w:r>
        <w:t xml:space="preserve"> </w:t>
      </w:r>
      <w:r>
        <w:t xml:space="preserve">both H1N1 and H3N2. Since cartographic distance is based on observed immune</w:t>
      </w:r>
      <w:r>
        <w:t xml:space="preserve"> </w:t>
      </w:r>
      <w:r>
        <w:t xml:space="preserve">response data, this implies that the hemagglutinin</w:t>
      </w:r>
      <w:r>
        <w:t xml:space="preserve"> </w:t>
      </w:r>
      <w:r>
        <w:t xml:space="preserve">sequence is not the only factor in determining individual immune responses. Our</w:t>
      </w:r>
      <w:r>
        <w:t xml:space="preserve"> </w:t>
      </w:r>
      <w:r>
        <w:t xml:space="preserve">sample is likely not representative, so similar analyses should be repeated on</w:t>
      </w:r>
      <w:r>
        <w:t xml:space="preserve"> </w:t>
      </w:r>
      <w:r>
        <w:t xml:space="preserve">other cohorts. Performing similar analyses using neuraminidase sequence and</w:t>
      </w:r>
      <w:r>
        <w:t xml:space="preserve"> </w:t>
      </w:r>
      <w:r>
        <w:t xml:space="preserve">inhibition data would complete our findings well.</w:t>
      </w:r>
    </w:p>
    <w:p>
      <w:pPr>
        <w:pStyle w:val="BodyText"/>
      </w:pPr>
      <w:r>
        <w:t xml:space="preserve">Overall we find that temporal distance should be interpreted cautiously because</w:t>
      </w:r>
      <w:r>
        <w:t xml:space="preserve"> </w:t>
      </w:r>
      <w:r>
        <w:t xml:space="preserve">it depends on subtype-specific evolutionary history. Additionally, the genetic</w:t>
      </w:r>
      <w:r>
        <w:t xml:space="preserve"> </w:t>
      </w:r>
      <w:r>
        <w:t xml:space="preserve">distance between influenza strains does not match the cartographic difference</w:t>
      </w:r>
      <w:r>
        <w:t xml:space="preserve"> </w:t>
      </w:r>
      <w:r>
        <w:t xml:space="preserve">from observed immune response data, indicating that genetic and antigenic</w:t>
      </w:r>
      <w:r>
        <w:t xml:space="preserve"> </w:t>
      </w:r>
      <w:r>
        <w:t xml:space="preserve">evolution do not always agree.</w:t>
      </w:r>
    </w:p>
    <w:bookmarkEnd w:id="38"/>
    <w:bookmarkStart w:id="39" w:name="acknowledgement"/>
    <w:p>
      <w:pPr>
        <w:pStyle w:val="Heading1"/>
      </w:pPr>
      <w:r>
        <w:t xml:space="preserve">Acknowledgement</w:t>
      </w:r>
    </w:p>
    <w:p>
      <w:pPr>
        <w:pStyle w:val="FirstParagraph"/>
      </w:pPr>
      <w:r>
        <w:t xml:space="preserve">We acknowledge the contributions of the following individuals to this work and</w:t>
      </w:r>
      <w:r>
        <w:t xml:space="preserve"> </w:t>
      </w:r>
      <w:r>
        <w:t xml:space="preserve">other underlying work (in alphabetical order): Justin Bahl, Lambodhar Damodaran,</w:t>
      </w:r>
      <w:r>
        <w:t xml:space="preserve"> </w:t>
      </w:r>
      <w:r>
        <w:t xml:space="preserve">Yang Ge, Savannah Hammerton, Andreas Handel, Ted Ross, Ye Shen, Amanda</w:t>
      </w:r>
      <w:r>
        <w:t xml:space="preserve"> </w:t>
      </w:r>
      <w:r>
        <w:t xml:space="preserve">Skarlupka, Meng-Hsuan Sung. This work would not have been possible without the</w:t>
      </w:r>
      <w:r>
        <w:t xml:space="preserve"> </w:t>
      </w:r>
      <w:r>
        <w:t xml:space="preserve">contributions of many software developers and methodologists who remain uncited</w:t>
      </w:r>
      <w:r>
        <w:t xml:space="preserve"> </w:t>
      </w:r>
      <w:r>
        <w:t xml:space="preserve">due to the 15 citation limit. Finally, we thank the University of Georgia</w:t>
      </w:r>
      <w:r>
        <w:t xml:space="preserve"> </w:t>
      </w:r>
      <w:r>
        <w:t xml:space="preserve">graduate school for providing funding.</w:t>
      </w:r>
    </w:p>
    <w:bookmarkEnd w:id="39"/>
    <w:bookmarkStart w:id="84" w:name="references"/>
    <w:p>
      <w:pPr>
        <w:pStyle w:val="Heading1"/>
      </w:pPr>
      <w:r>
        <w:t xml:space="preserve">References</w:t>
      </w:r>
    </w:p>
    <w:bookmarkStart w:id="83" w:name="refs"/>
    <w:bookmarkStart w:id="41" w:name="ref-kim2018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Kim H, Webster RG, Webby RJ. Influenza</w:t>
      </w:r>
      <w:r>
        <w:t xml:space="preserve"> </w:t>
      </w:r>
      <w:r>
        <w:t xml:space="preserve">Virus</w:t>
      </w:r>
      <w:r>
        <w:t xml:space="preserve">:</w:t>
      </w:r>
      <w:r>
        <w:t xml:space="preserve"> </w:t>
      </w:r>
      <w:r>
        <w:t xml:space="preserve">Dealing</w:t>
      </w:r>
      <w:r>
        <w:t xml:space="preserve"> </w:t>
      </w:r>
      <w:r>
        <w:t xml:space="preserve">with a</w:t>
      </w:r>
      <w:r>
        <w:t xml:space="preserve"> </w:t>
      </w:r>
      <w:r>
        <w:t xml:space="preserve">Drifting</w:t>
      </w:r>
      <w:r>
        <w:t xml:space="preserve"> </w:t>
      </w:r>
      <w:r>
        <w:t xml:space="preserve">and</w:t>
      </w:r>
      <w:r>
        <w:t xml:space="preserve"> </w:t>
      </w:r>
      <w:r>
        <w:t xml:space="preserve">Shifting Pathogen</w:t>
      </w:r>
      <w:r>
        <w:t xml:space="preserve">. Viral Immunology. 2018;31: 174–183. doi:</w:t>
      </w:r>
      <w:hyperlink r:id="rId40">
        <w:r>
          <w:rPr>
            <w:rStyle w:val="Hyperlink"/>
          </w:rPr>
          <w:t xml:space="preserve">10.1089/vim.2017.0141</w:t>
        </w:r>
      </w:hyperlink>
    </w:p>
    <w:bookmarkEnd w:id="41"/>
    <w:bookmarkStart w:id="43" w:name="ref-erbelding2018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Erbelding EJ, Post DJ, Stemmy EJ, Roberts PC, Augustine AD, Ferguson S, et al. A</w:t>
      </w:r>
      <w:r>
        <w:t xml:space="preserve"> </w:t>
      </w:r>
      <w:r>
        <w:t xml:space="preserve">Universal Influenza Vaccine</w:t>
      </w:r>
      <w:r>
        <w:t xml:space="preserve">:</w:t>
      </w:r>
      <w:r>
        <w:t xml:space="preserve"> </w:t>
      </w:r>
      <w:r>
        <w:t xml:space="preserve">The Strategic Plan</w:t>
      </w:r>
      <w:r>
        <w:t xml:space="preserve"> </w:t>
      </w:r>
      <w:r>
        <w:t xml:space="preserve">for the</w:t>
      </w:r>
      <w:r>
        <w:t xml:space="preserve"> </w:t>
      </w:r>
      <w:r>
        <w:t xml:space="preserve">National Institute</w:t>
      </w:r>
      <w:r>
        <w:t xml:space="preserve"> </w:t>
      </w:r>
      <w:r>
        <w:t xml:space="preserve">of</w:t>
      </w:r>
      <w:r>
        <w:t xml:space="preserve"> </w:t>
      </w:r>
      <w:r>
        <w:t xml:space="preserve">Allergy</w:t>
      </w:r>
      <w:r>
        <w:t xml:space="preserve"> </w:t>
      </w:r>
      <w:r>
        <w:t xml:space="preserve">and</w:t>
      </w:r>
      <w:r>
        <w:t xml:space="preserve"> </w:t>
      </w:r>
      <w:r>
        <w:t xml:space="preserve">Infectious Diseases</w:t>
      </w:r>
      <w:r>
        <w:t xml:space="preserve">. The Journal of Infectious Diseases. 2018;218: 347–354. doi:</w:t>
      </w:r>
      <w:hyperlink r:id="rId42">
        <w:r>
          <w:rPr>
            <w:rStyle w:val="Hyperlink"/>
          </w:rPr>
          <w:t xml:space="preserve">10.1093/infdis/jiy103</w:t>
        </w:r>
      </w:hyperlink>
    </w:p>
    <w:bookmarkEnd w:id="43"/>
    <w:bookmarkStart w:id="45" w:name="ref-viboud2020a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Viboud C, Gostic K, Nelson MI, Price GE, Perofsky A, Sun K, et al. Beyond clinical trials:</w:t>
      </w:r>
      <w:r>
        <w:t xml:space="preserve"> </w:t>
      </w:r>
      <w:r>
        <w:t xml:space="preserve">Evolutionary</w:t>
      </w:r>
      <w:r>
        <w:t xml:space="preserve"> </w:t>
      </w:r>
      <w:r>
        <w:t xml:space="preserve">and epidemiological considerations for development of a universal influenza vaccine. PLoS pathogens. 2020;16: e1008583. doi:</w:t>
      </w:r>
      <w:hyperlink r:id="rId44">
        <w:r>
          <w:rPr>
            <w:rStyle w:val="Hyperlink"/>
          </w:rPr>
          <w:t xml:space="preserve">10.1371/journal.ppat.1008583</w:t>
        </w:r>
      </w:hyperlink>
    </w:p>
    <w:bookmarkEnd w:id="45"/>
    <w:bookmarkStart w:id="47" w:name="ref-durviaux2014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Durviaux S, Treanor J, Beran J, Duval X, Esen M, Feldman G, et al. Genetic and</w:t>
      </w:r>
      <w:r>
        <w:t xml:space="preserve"> </w:t>
      </w:r>
      <w:r>
        <w:t xml:space="preserve">Antigenic Typing</w:t>
      </w:r>
      <w:r>
        <w:t xml:space="preserve"> </w:t>
      </w:r>
      <w:r>
        <w:t xml:space="preserve">of</w:t>
      </w:r>
      <w:r>
        <w:t xml:space="preserve"> </w:t>
      </w:r>
      <w:r>
        <w:t xml:space="preserve">Seasonal Influenza Virus Breakthrough Cases</w:t>
      </w:r>
      <w:r>
        <w:t xml:space="preserve"> </w:t>
      </w:r>
      <w:r>
        <w:t xml:space="preserve">from a 2008-2009</w:t>
      </w:r>
      <w:r>
        <w:t xml:space="preserve"> </w:t>
      </w:r>
      <w:r>
        <w:t xml:space="preserve">Vaccine Efficacy Trial</w:t>
      </w:r>
      <w:r>
        <w:t xml:space="preserve">. Clinical and Vaccine Immunology. 2014;21: 271–279. doi:</w:t>
      </w:r>
      <w:hyperlink r:id="rId46">
        <w:r>
          <w:rPr>
            <w:rStyle w:val="Hyperlink"/>
          </w:rPr>
          <w:t xml:space="preserve">10.1128/CVI.00544-13</w:t>
        </w:r>
      </w:hyperlink>
    </w:p>
    <w:bookmarkEnd w:id="47"/>
    <w:bookmarkStart w:id="49" w:name="ref-grantham1974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Grantham R. Amino acid difference formula to help explain protein evolution. Science. 1974;185: 862–864. doi:</w:t>
      </w:r>
      <w:hyperlink r:id="rId48">
        <w:r>
          <w:rPr>
            <w:rStyle w:val="Hyperlink"/>
          </w:rPr>
          <w:t xml:space="preserve">10.1126/science.185.4154.862</w:t>
        </w:r>
      </w:hyperlink>
    </w:p>
    <w:bookmarkEnd w:id="49"/>
    <w:bookmarkStart w:id="51" w:name="ref-gupta2006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Gupta V, Earl DJ, Deem MW. Quantifying influenza vaccine efficacy and antigenic distance. Vaccine. 2006;24: 3881–3888. doi:</w:t>
      </w:r>
      <w:hyperlink r:id="rId50">
        <w:r>
          <w:rPr>
            <w:rStyle w:val="Hyperlink"/>
          </w:rPr>
          <w:t xml:space="preserve">10.1016/j.vaccine.2006.01.010</w:t>
        </w:r>
      </w:hyperlink>
    </w:p>
    <w:bookmarkEnd w:id="51"/>
    <w:bookmarkStart w:id="53" w:name="ref-fonville2016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Fonville JM, Fraaij PLA, de Mutsert G, Wilks SH, van Beek R, Fouchier RAM, et al. Antigenic</w:t>
      </w:r>
      <w:r>
        <w:t xml:space="preserve"> </w:t>
      </w:r>
      <w:r>
        <w:t xml:space="preserve">Maps</w:t>
      </w:r>
      <w:r>
        <w:t xml:space="preserve"> </w:t>
      </w:r>
      <w:r>
        <w:t xml:space="preserve">of</w:t>
      </w:r>
      <w:r>
        <w:t xml:space="preserve"> </w:t>
      </w:r>
      <w:r>
        <w:t xml:space="preserve">Influenza A</w:t>
      </w:r>
      <w:r>
        <w:t xml:space="preserve">(</w:t>
      </w:r>
      <w:r>
        <w:t xml:space="preserve">H3N2</w:t>
      </w:r>
      <w:r>
        <w:t xml:space="preserve">)</w:t>
      </w:r>
      <w:r>
        <w:t xml:space="preserve"> </w:t>
      </w:r>
      <w:r>
        <w:t xml:space="preserve">Produced With Human Antisera Obtained After Primary Infection</w:t>
      </w:r>
      <w:r>
        <w:t xml:space="preserve">. The Journal of Infectious Diseases. 2016;213: 31–38. doi:</w:t>
      </w:r>
      <w:hyperlink r:id="rId52">
        <w:r>
          <w:rPr>
            <w:rStyle w:val="Hyperlink"/>
          </w:rPr>
          <w:t xml:space="preserve">10.1093/infdis/jiv367</w:t>
        </w:r>
      </w:hyperlink>
    </w:p>
    <w:bookmarkEnd w:id="53"/>
    <w:bookmarkStart w:id="55" w:name="ref-nunez2017"/>
    <w:p>
      <w:pPr>
        <w:pStyle w:val="Bibliography"/>
      </w:pPr>
      <w:r>
        <w:t xml:space="preserve">8.</w:t>
      </w:r>
      <w:r>
        <w:t xml:space="preserve"> </w:t>
      </w:r>
      <w:r>
        <w:t xml:space="preserve">	</w:t>
      </w:r>
      <w:r>
        <w:t xml:space="preserve">Nuñez IA, Carlock MA, Allen JD, Owino SO, Moehling KK, Nowalk P, et al. Impact of age and pre-existing influenza immune responses in humans receiving split inactivated influenza vaccine on the induction of the breadth of antibodies to influenza</w:t>
      </w:r>
      <w:r>
        <w:t xml:space="preserve"> </w:t>
      </w:r>
      <w:r>
        <w:t xml:space="preserve">A</w:t>
      </w:r>
      <w:r>
        <w:t xml:space="preserve"> </w:t>
      </w:r>
      <w:r>
        <w:t xml:space="preserve">strains. PloS One. 2017;12: e0185666. doi:</w:t>
      </w:r>
      <w:hyperlink r:id="rId54">
        <w:r>
          <w:rPr>
            <w:rStyle w:val="Hyperlink"/>
          </w:rPr>
          <w:t xml:space="preserve">10.1371/journal.pone.0185666</w:t>
        </w:r>
      </w:hyperlink>
    </w:p>
    <w:bookmarkEnd w:id="55"/>
    <w:bookmarkStart w:id="57" w:name="ref-abreu2020"/>
    <w:p>
      <w:pPr>
        <w:pStyle w:val="Bibliography"/>
      </w:pPr>
      <w:r>
        <w:t xml:space="preserve">9.</w:t>
      </w:r>
      <w:r>
        <w:t xml:space="preserve"> </w:t>
      </w:r>
      <w:r>
        <w:t xml:space="preserve">	</w:t>
      </w:r>
      <w:r>
        <w:t xml:space="preserve">Abreu RB, Clutter EF, Attari S, Sautto GA, Ross TM.</w:t>
      </w:r>
      <w:r>
        <w:t xml:space="preserve"> </w:t>
      </w:r>
      <w:r>
        <w:t xml:space="preserve">IgA Responses Following Recurrent Influenza Virus Vaccination</w:t>
      </w:r>
      <w:r>
        <w:t xml:space="preserve">. Frontiers in Immunology. 2020;11. doi:</w:t>
      </w:r>
      <w:hyperlink r:id="rId56">
        <w:r>
          <w:rPr>
            <w:rStyle w:val="Hyperlink"/>
          </w:rPr>
          <w:t xml:space="preserve">10.3389/fimmu.2020.00902</w:t>
        </w:r>
      </w:hyperlink>
    </w:p>
    <w:bookmarkEnd w:id="57"/>
    <w:bookmarkStart w:id="59" w:name="ref-auladell2022"/>
    <w:p>
      <w:pPr>
        <w:pStyle w:val="Bibliography"/>
      </w:pPr>
      <w:r>
        <w:t xml:space="preserve">10.</w:t>
      </w:r>
      <w:r>
        <w:t xml:space="preserve"> </w:t>
      </w:r>
      <w:r>
        <w:t xml:space="preserve">	</w:t>
      </w:r>
      <w:r>
        <w:t xml:space="preserve">Auladell M, Phuong HVM, Mai LTQ, Tseng Y-Y, Carolan L, Wilks S, et al. Influenza virus infection history shapes antibody responses to influenza vaccination. Nature Medicine. 2022;28: 363–372. doi:</w:t>
      </w:r>
      <w:hyperlink r:id="rId58">
        <w:r>
          <w:rPr>
            <w:rStyle w:val="Hyperlink"/>
          </w:rPr>
          <w:t xml:space="preserve">10.1038/s41591-022-01690-w</w:t>
        </w:r>
      </w:hyperlink>
    </w:p>
    <w:bookmarkEnd w:id="59"/>
    <w:bookmarkStart w:id="60" w:name="ref-wilks2023"/>
    <w:p>
      <w:pPr>
        <w:pStyle w:val="Bibliography"/>
      </w:pPr>
      <w:r>
        <w:t xml:space="preserve">11.</w:t>
      </w:r>
      <w:r>
        <w:t xml:space="preserve"> </w:t>
      </w:r>
      <w:r>
        <w:t xml:space="preserve">	</w:t>
      </w:r>
      <w:r>
        <w:t xml:space="preserve">Wilks S. Racmacs:</w:t>
      </w:r>
      <w:r>
        <w:t xml:space="preserve"> </w:t>
      </w:r>
      <w:r>
        <w:t xml:space="preserve">Antigenic</w:t>
      </w:r>
      <w:r>
        <w:t xml:space="preserve"> </w:t>
      </w:r>
      <w:r>
        <w:t xml:space="preserve">cartography macros. 2023.</w:t>
      </w:r>
      <w:r>
        <w:t xml:space="preserve"> </w:t>
      </w:r>
    </w:p>
    <w:bookmarkEnd w:id="60"/>
    <w:bookmarkStart w:id="62" w:name="ref-edgar2004"/>
    <w:p>
      <w:pPr>
        <w:pStyle w:val="Bibliography"/>
      </w:pPr>
      <w:r>
        <w:t xml:space="preserve">12.</w:t>
      </w:r>
      <w:r>
        <w:t xml:space="preserve"> </w:t>
      </w:r>
      <w:r>
        <w:t xml:space="preserve">	</w:t>
      </w:r>
      <w:r>
        <w:t xml:space="preserve">Edgar RC.</w:t>
      </w:r>
      <w:r>
        <w:t xml:space="preserve"> </w:t>
      </w:r>
      <w:r>
        <w:t xml:space="preserve">MUSCLE</w:t>
      </w:r>
      <w:r>
        <w:t xml:space="preserve">: A multiple sequence alignment method with reduced time and space complexity. BMC Bioinformatics. 2004;5: 113. doi:</w:t>
      </w:r>
      <w:hyperlink r:id="rId61">
        <w:r>
          <w:rPr>
            <w:rStyle w:val="Hyperlink"/>
          </w:rPr>
          <w:t xml:space="preserve">10.1186/1471-2105-5-113</w:t>
        </w:r>
      </w:hyperlink>
    </w:p>
    <w:bookmarkEnd w:id="62"/>
    <w:bookmarkStart w:id="64" w:name="ref-dang2010"/>
    <w:p>
      <w:pPr>
        <w:pStyle w:val="Bibliography"/>
      </w:pPr>
      <w:r>
        <w:t xml:space="preserve">13.</w:t>
      </w:r>
      <w:r>
        <w:t xml:space="preserve"> </w:t>
      </w:r>
      <w:r>
        <w:t xml:space="preserve">	</w:t>
      </w:r>
      <w:r>
        <w:t xml:space="preserve">Dang CC, Le QS, Gascuel O, Le VS.</w:t>
      </w:r>
      <w:r>
        <w:t xml:space="preserve"> </w:t>
      </w:r>
      <w:r>
        <w:t xml:space="preserve">FLU</w:t>
      </w:r>
      <w:r>
        <w:t xml:space="preserve">, an amino acid substitution model for influenza proteins. BMC Evolutionary Biology. 2010;10: 99. doi:</w:t>
      </w:r>
      <w:hyperlink r:id="rId63">
        <w:r>
          <w:rPr>
            <w:rStyle w:val="Hyperlink"/>
          </w:rPr>
          <w:t xml:space="preserve">10.1186/1471-2148-10-99</w:t>
        </w:r>
      </w:hyperlink>
    </w:p>
    <w:bookmarkEnd w:id="64"/>
    <w:bookmarkStart w:id="65" w:name="ref-burnham2002model"/>
    <w:p>
      <w:pPr>
        <w:pStyle w:val="Bibliography"/>
      </w:pPr>
      <w:r>
        <w:t xml:space="preserve">14.</w:t>
      </w:r>
      <w:r>
        <w:t xml:space="preserve"> </w:t>
      </w:r>
      <w:r>
        <w:t xml:space="preserve">	</w:t>
      </w:r>
      <w:r>
        <w:t xml:space="preserve">Burnham KP, Anderson DR. Model selection and multimodel inference: A practical information-theoretic approach. 2nd ed. New York: Springer; 2002.</w:t>
      </w:r>
      <w:r>
        <w:t xml:space="preserve"> </w:t>
      </w:r>
    </w:p>
    <w:bookmarkEnd w:id="65"/>
    <w:bookmarkStart w:id="67" w:name="ref-schliep2011"/>
    <w:p>
      <w:pPr>
        <w:pStyle w:val="Bibliography"/>
      </w:pPr>
      <w:r>
        <w:t xml:space="preserve">15.</w:t>
      </w:r>
      <w:r>
        <w:t xml:space="preserve"> </w:t>
      </w:r>
      <w:r>
        <w:t xml:space="preserve">	</w:t>
      </w:r>
      <w:r>
        <w:t xml:space="preserve">Schliep KP. Phangorn: Phylogenetic analysis in</w:t>
      </w:r>
      <w:r>
        <w:t xml:space="preserve"> </w:t>
      </w:r>
      <w:r>
        <w:t xml:space="preserve">R</w:t>
      </w:r>
      <w:r>
        <w:t xml:space="preserve">. Bioinformatics (Oxford, England). 2011;27: 592–593. doi:</w:t>
      </w:r>
      <w:hyperlink r:id="rId66">
        <w:r>
          <w:rPr>
            <w:rStyle w:val="Hyperlink"/>
          </w:rPr>
          <w:t xml:space="preserve">10.1093/bioinformatics/btq706</w:t>
        </w:r>
      </w:hyperlink>
    </w:p>
    <w:bookmarkEnd w:id="67"/>
    <w:bookmarkStart w:id="69" w:name="ref-legendre2010MantelAlternatives"/>
    <w:p>
      <w:pPr>
        <w:pStyle w:val="Bibliography"/>
      </w:pPr>
      <w:r>
        <w:t xml:space="preserve">16.</w:t>
      </w:r>
      <w:r>
        <w:t xml:space="preserve"> </w:t>
      </w:r>
      <w:r>
        <w:t xml:space="preserve">	</w:t>
      </w:r>
      <w:r>
        <w:t xml:space="preserve">Legendre P, Fortin M-J. Comparison of the mantel test and alternative approaches for detecting complex multivariate relationships in the spatial analysis of genetic data. Molecular Ecology Resources. 2010;10: 831–844. doi:</w:t>
      </w:r>
      <w:hyperlink r:id="rId68">
        <w:r>
          <w:rPr>
            <w:rStyle w:val="Hyperlink"/>
          </w:rPr>
          <w:t xml:space="preserve">10.1111/j.1755-0998.2010.02866.x</w:t>
        </w:r>
      </w:hyperlink>
    </w:p>
    <w:bookmarkEnd w:id="69"/>
    <w:bookmarkStart w:id="71" w:name="ref-legendre2015ShouldMantel"/>
    <w:p>
      <w:pPr>
        <w:pStyle w:val="Bibliography"/>
      </w:pPr>
      <w:r>
        <w:t xml:space="preserve">17.</w:t>
      </w:r>
      <w:r>
        <w:t xml:space="preserve"> </w:t>
      </w:r>
      <w:r>
        <w:t xml:space="preserve">	</w:t>
      </w:r>
      <w:r>
        <w:t xml:space="preserve">Legendre P, Fortin M-J, Borcard D. Should the mantel test be used in spatial analysis? Methods in Ecology and Evolution. 2015;6: 1239–1247. doi:</w:t>
      </w:r>
      <w:hyperlink r:id="rId70">
        <w:r>
          <w:rPr>
            <w:rStyle w:val="Hyperlink"/>
          </w:rPr>
          <w:t xml:space="preserve">10.1111/2041-210X.12425</w:t>
        </w:r>
      </w:hyperlink>
    </w:p>
    <w:bookmarkEnd w:id="71"/>
    <w:bookmarkStart w:id="73" w:name="ref-rubin1981"/>
    <w:p>
      <w:pPr>
        <w:pStyle w:val="Bibliography"/>
      </w:pPr>
      <w:r>
        <w:t xml:space="preserve">18.</w:t>
      </w:r>
      <w:r>
        <w:t xml:space="preserve"> </w:t>
      </w:r>
      <w:r>
        <w:t xml:space="preserve">	</w:t>
      </w:r>
      <w:r>
        <w:t xml:space="preserve">Rubin DB. The bayesian bootstrap. The Annals of Statistics. 1981;9: 130–134. doi:</w:t>
      </w:r>
      <w:hyperlink r:id="rId72">
        <w:r>
          <w:rPr>
            <w:rStyle w:val="Hyperlink"/>
          </w:rPr>
          <w:t xml:space="preserve">10.1214/aos/1176345338</w:t>
        </w:r>
      </w:hyperlink>
    </w:p>
    <w:bookmarkEnd w:id="73"/>
    <w:bookmarkStart w:id="75" w:name="ref-saitou1987NeighborJoining"/>
    <w:p>
      <w:pPr>
        <w:pStyle w:val="Bibliography"/>
      </w:pPr>
      <w:r>
        <w:t xml:space="preserve">19.</w:t>
      </w:r>
      <w:r>
        <w:t xml:space="preserve"> </w:t>
      </w:r>
      <w:r>
        <w:t xml:space="preserve">	</w:t>
      </w:r>
      <w:r>
        <w:t xml:space="preserve">Saitou N, Nei M. The neighbor-joining method: A new method for reconstructing phylogenetic trees. Molecular Biology and Evolution. 1987;4: 406–425. doi:</w:t>
      </w:r>
      <w:hyperlink r:id="rId74">
        <w:r>
          <w:rPr>
            <w:rStyle w:val="Hyperlink"/>
          </w:rPr>
          <w:t xml:space="preserve">10.1093/oxfordjournals.molbev.a040454</w:t>
        </w:r>
      </w:hyperlink>
    </w:p>
    <w:bookmarkEnd w:id="75"/>
    <w:bookmarkStart w:id="77" w:name="ref-shimodaira1999ShTest"/>
    <w:p>
      <w:pPr>
        <w:pStyle w:val="Bibliography"/>
      </w:pPr>
      <w:r>
        <w:t xml:space="preserve">20.</w:t>
      </w:r>
      <w:r>
        <w:t xml:space="preserve"> </w:t>
      </w:r>
      <w:r>
        <w:t xml:space="preserve">	</w:t>
      </w:r>
      <w:r>
        <w:t xml:space="preserve">Shimodaira H, Hasegawa M. Multiple comparisons of log-likelihoods with applications to phylogenetic inference. Molecular Biology and Evolution. 1999;16: 1114–1116. doi:</w:t>
      </w:r>
      <w:hyperlink r:id="rId76">
        <w:r>
          <w:rPr>
            <w:rStyle w:val="Hyperlink"/>
          </w:rPr>
          <w:t xml:space="preserve">10.1093/oxfordjournals.molbev.a026201</w:t>
        </w:r>
      </w:hyperlink>
    </w:p>
    <w:bookmarkEnd w:id="77"/>
    <w:bookmarkStart w:id="79" w:name="X8b6875512c705bb343382cbd274febad517fdf3"/>
    <w:p>
      <w:pPr>
        <w:pStyle w:val="Bibliography"/>
      </w:pPr>
      <w:r>
        <w:t xml:space="preserve">21.</w:t>
      </w:r>
      <w:r>
        <w:t xml:space="preserve"> </w:t>
      </w:r>
      <w:r>
        <w:t xml:space="preserve">	</w:t>
      </w:r>
      <w:r>
        <w:t xml:space="preserve">Robinson DF, Foulds LR. Comparison of phylogenetic trees. Mathematical Biosciences. 1981;53: 131–147. doi:</w:t>
      </w:r>
      <w:hyperlink r:id="rId78">
        <w:r>
          <w:rPr>
            <w:rStyle w:val="Hyperlink"/>
          </w:rPr>
          <w:t xml:space="preserve">10.1016/0025-5564(81)90043-2</w:t>
        </w:r>
      </w:hyperlink>
    </w:p>
    <w:bookmarkEnd w:id="79"/>
    <w:bookmarkStart w:id="80" w:name="ref-rcoreteam2024"/>
    <w:p>
      <w:pPr>
        <w:pStyle w:val="Bibliography"/>
      </w:pPr>
      <w:r>
        <w:t xml:space="preserve">22.</w:t>
      </w:r>
      <w:r>
        <w:t xml:space="preserve"> </w:t>
      </w:r>
      <w:r>
        <w:t xml:space="preserve">	</w:t>
      </w:r>
      <w:r>
        <w:t xml:space="preserve">R Core Team. R: A language and environment for statistical computing. Vienna, Austria: R Foundation for Statistical Computing; 2024.</w:t>
      </w:r>
      <w:r>
        <w:t xml:space="preserve"> </w:t>
      </w:r>
    </w:p>
    <w:bookmarkEnd w:id="80"/>
    <w:bookmarkStart w:id="82" w:name="ref-bodenhofer2015"/>
    <w:p>
      <w:pPr>
        <w:pStyle w:val="Bibliography"/>
      </w:pPr>
      <w:r>
        <w:t xml:space="preserve">23.</w:t>
      </w:r>
      <w:r>
        <w:t xml:space="preserve"> </w:t>
      </w:r>
      <w:r>
        <w:t xml:space="preserve">	</w:t>
      </w:r>
      <w:r>
        <w:t xml:space="preserve">Bodenhofer U, Bonatesta E, Horejš-Kainrath C, Hochreiter S. Msa: An</w:t>
      </w:r>
      <w:r>
        <w:t xml:space="preserve"> </w:t>
      </w:r>
      <w:r>
        <w:t xml:space="preserve">R</w:t>
      </w:r>
      <w:r>
        <w:t xml:space="preserve"> </w:t>
      </w:r>
      <w:r>
        <w:t xml:space="preserve">package for multiple sequence alignment. Bioinformatics. 2015;31: 3997–3999. doi:</w:t>
      </w:r>
      <w:hyperlink r:id="rId81">
        <w:r>
          <w:rPr>
            <w:rStyle w:val="Hyperlink"/>
          </w:rPr>
          <w:t xml:space="preserve">10.1093/bioinformatics/btv494</w:t>
        </w:r>
      </w:hyperlink>
    </w:p>
    <w:bookmarkEnd w:id="82"/>
    <w:bookmarkEnd w:id="83"/>
    <w:bookmarkEnd w:id="8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31" Target="media/rId31.png" /><Relationship Type="http://schemas.openxmlformats.org/officeDocument/2006/relationships/image" Id="rId26" Target="media/rId26.png" /><Relationship Type="http://schemas.openxmlformats.org/officeDocument/2006/relationships/hyperlink" Id="rId78" Target="https://doi.org/10.1016/0025-5564(81)90043-2" TargetMode="External" /><Relationship Type="http://schemas.openxmlformats.org/officeDocument/2006/relationships/hyperlink" Id="rId50" Target="https://doi.org/10.1016/j.vaccine.2006.01.010" TargetMode="External" /><Relationship Type="http://schemas.openxmlformats.org/officeDocument/2006/relationships/hyperlink" Id="rId58" Target="https://doi.org/10.1038/s41591-022-01690-w" TargetMode="External" /><Relationship Type="http://schemas.openxmlformats.org/officeDocument/2006/relationships/hyperlink" Id="rId40" Target="https://doi.org/10.1089/vim.2017.0141" TargetMode="External" /><Relationship Type="http://schemas.openxmlformats.org/officeDocument/2006/relationships/hyperlink" Id="rId66" Target="https://doi.org/10.1093/bioinformatics/btq706" TargetMode="External" /><Relationship Type="http://schemas.openxmlformats.org/officeDocument/2006/relationships/hyperlink" Id="rId81" Target="https://doi.org/10.1093/bioinformatics/btv494" TargetMode="External" /><Relationship Type="http://schemas.openxmlformats.org/officeDocument/2006/relationships/hyperlink" Id="rId52" Target="https://doi.org/10.1093/infdis/jiv367" TargetMode="External" /><Relationship Type="http://schemas.openxmlformats.org/officeDocument/2006/relationships/hyperlink" Id="rId42" Target="https://doi.org/10.1093/infdis/jiy103" TargetMode="External" /><Relationship Type="http://schemas.openxmlformats.org/officeDocument/2006/relationships/hyperlink" Id="rId76" Target="https://doi.org/10.1093/oxfordjournals.molbev.a026201" TargetMode="External" /><Relationship Type="http://schemas.openxmlformats.org/officeDocument/2006/relationships/hyperlink" Id="rId74" Target="https://doi.org/10.1093/oxfordjournals.molbev.a040454" TargetMode="External" /><Relationship Type="http://schemas.openxmlformats.org/officeDocument/2006/relationships/hyperlink" Id="rId70" Target="https://doi.org/10.1111/2041-210X.12425" TargetMode="External" /><Relationship Type="http://schemas.openxmlformats.org/officeDocument/2006/relationships/hyperlink" Id="rId68" Target="https://doi.org/10.1111/j.1755-0998.2010.02866.x" TargetMode="External" /><Relationship Type="http://schemas.openxmlformats.org/officeDocument/2006/relationships/hyperlink" Id="rId48" Target="https://doi.org/10.1126/science.185.4154.862" TargetMode="External" /><Relationship Type="http://schemas.openxmlformats.org/officeDocument/2006/relationships/hyperlink" Id="rId46" Target="https://doi.org/10.1128/CVI.00544-13" TargetMode="External" /><Relationship Type="http://schemas.openxmlformats.org/officeDocument/2006/relationships/hyperlink" Id="rId61" Target="https://doi.org/10.1186/1471-2105-5-113" TargetMode="External" /><Relationship Type="http://schemas.openxmlformats.org/officeDocument/2006/relationships/hyperlink" Id="rId63" Target="https://doi.org/10.1186/1471-2148-10-99" TargetMode="External" /><Relationship Type="http://schemas.openxmlformats.org/officeDocument/2006/relationships/hyperlink" Id="rId72" Target="https://doi.org/10.1214/aos/1176345338" TargetMode="External" /><Relationship Type="http://schemas.openxmlformats.org/officeDocument/2006/relationships/hyperlink" Id="rId54" Target="https://doi.org/10.1371/journal.pone.0185666" TargetMode="External" /><Relationship Type="http://schemas.openxmlformats.org/officeDocument/2006/relationships/hyperlink" Id="rId44" Target="https://doi.org/10.1371/journal.ppat.1008583" TargetMode="External" /><Relationship Type="http://schemas.openxmlformats.org/officeDocument/2006/relationships/hyperlink" Id="rId56" Target="https://doi.org/10.3389/fimmu.2020.0090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8" Target="https://doi.org/10.1016/0025-5564(81)90043-2" TargetMode="External" /><Relationship Type="http://schemas.openxmlformats.org/officeDocument/2006/relationships/hyperlink" Id="rId50" Target="https://doi.org/10.1016/j.vaccine.2006.01.010" TargetMode="External" /><Relationship Type="http://schemas.openxmlformats.org/officeDocument/2006/relationships/hyperlink" Id="rId58" Target="https://doi.org/10.1038/s41591-022-01690-w" TargetMode="External" /><Relationship Type="http://schemas.openxmlformats.org/officeDocument/2006/relationships/hyperlink" Id="rId40" Target="https://doi.org/10.1089/vim.2017.0141" TargetMode="External" /><Relationship Type="http://schemas.openxmlformats.org/officeDocument/2006/relationships/hyperlink" Id="rId66" Target="https://doi.org/10.1093/bioinformatics/btq706" TargetMode="External" /><Relationship Type="http://schemas.openxmlformats.org/officeDocument/2006/relationships/hyperlink" Id="rId81" Target="https://doi.org/10.1093/bioinformatics/btv494" TargetMode="External" /><Relationship Type="http://schemas.openxmlformats.org/officeDocument/2006/relationships/hyperlink" Id="rId52" Target="https://doi.org/10.1093/infdis/jiv367" TargetMode="External" /><Relationship Type="http://schemas.openxmlformats.org/officeDocument/2006/relationships/hyperlink" Id="rId42" Target="https://doi.org/10.1093/infdis/jiy103" TargetMode="External" /><Relationship Type="http://schemas.openxmlformats.org/officeDocument/2006/relationships/hyperlink" Id="rId76" Target="https://doi.org/10.1093/oxfordjournals.molbev.a026201" TargetMode="External" /><Relationship Type="http://schemas.openxmlformats.org/officeDocument/2006/relationships/hyperlink" Id="rId74" Target="https://doi.org/10.1093/oxfordjournals.molbev.a040454" TargetMode="External" /><Relationship Type="http://schemas.openxmlformats.org/officeDocument/2006/relationships/hyperlink" Id="rId70" Target="https://doi.org/10.1111/2041-210X.12425" TargetMode="External" /><Relationship Type="http://schemas.openxmlformats.org/officeDocument/2006/relationships/hyperlink" Id="rId68" Target="https://doi.org/10.1111/j.1755-0998.2010.02866.x" TargetMode="External" /><Relationship Type="http://schemas.openxmlformats.org/officeDocument/2006/relationships/hyperlink" Id="rId48" Target="https://doi.org/10.1126/science.185.4154.862" TargetMode="External" /><Relationship Type="http://schemas.openxmlformats.org/officeDocument/2006/relationships/hyperlink" Id="rId46" Target="https://doi.org/10.1128/CVI.00544-13" TargetMode="External" /><Relationship Type="http://schemas.openxmlformats.org/officeDocument/2006/relationships/hyperlink" Id="rId61" Target="https://doi.org/10.1186/1471-2105-5-113" TargetMode="External" /><Relationship Type="http://schemas.openxmlformats.org/officeDocument/2006/relationships/hyperlink" Id="rId63" Target="https://doi.org/10.1186/1471-2148-10-99" TargetMode="External" /><Relationship Type="http://schemas.openxmlformats.org/officeDocument/2006/relationships/hyperlink" Id="rId72" Target="https://doi.org/10.1214/aos/1176345338" TargetMode="External" /><Relationship Type="http://schemas.openxmlformats.org/officeDocument/2006/relationships/hyperlink" Id="rId54" Target="https://doi.org/10.1371/journal.pone.0185666" TargetMode="External" /><Relationship Type="http://schemas.openxmlformats.org/officeDocument/2006/relationships/hyperlink" Id="rId44" Target="https://doi.org/10.1371/journal.ppat.1008583" TargetMode="External" /><Relationship Type="http://schemas.openxmlformats.org/officeDocument/2006/relationships/hyperlink" Id="rId56" Target="https://doi.org/10.3389/fimmu.2020.0090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antigenic distance metrics for influenza</dc:title>
  <dc:creator>W. Zane Billings</dc:creator>
  <cp:keywords/>
  <dcterms:created xsi:type="dcterms:W3CDTF">2026-06-04T22:46:18Z</dcterms:created>
  <dcterms:modified xsi:type="dcterms:W3CDTF">2026-06-04T22:46:18Z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Developing universal influenza vaccines will require improved understanding of how influenza variants differ from each other. We find that temporal distances perform poorly overall, but even biophysical and epitope-based sequence distances which match phylogenetic distances well do not match cartographic distances based on actual immune response data.</vt:lpwstr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project-refs.bib</vt:lpwstr>
  </property>
  <property fmtid="{D5CDD505-2E9C-101B-9397-08002B2CF9AE}" pid="6" name="by-author">
    <vt:lpwstr/>
  </property>
  <property fmtid="{D5CDD505-2E9C-101B-9397-08002B2CF9AE}" pid="7" name="csl">
    <vt:lpwstr>plos-computational-biology.csl</vt:lpwstr>
  </property>
  <property fmtid="{D5CDD505-2E9C-101B-9397-08002B2CF9AE}" pid="8" name="date">
    <vt:lpwstr>2026-06-04</vt:lpwstr>
  </property>
  <property fmtid="{D5CDD505-2E9C-101B-9397-08002B2CF9AE}" pid="9" name="date-format">
    <vt:lpwstr>iso</vt:lpwstr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subtitle">
    <vt:lpwstr>EPID 8200 project</vt:lpwstr>
  </property>
  <property fmtid="{D5CDD505-2E9C-101B-9397-08002B2CF9AE}" pid="16" name="toc-title">
    <vt:lpwstr>Table of contents</vt:lpwstr>
  </property>
</Properties>
</file>