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Material:</w:t>
      </w:r>
      <w:r>
        <w:t xml:space="preserve"> </w:t>
      </w:r>
      <w:r>
        <w:t xml:space="preserve">Comparing antigenic distance metrics for influenza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reproducibility-instructions"/>
    <w:p>
      <w:pPr>
        <w:pStyle w:val="Heading1"/>
      </w:pPr>
      <w:r>
        <w:t xml:space="preserve">1. Reproducibility Instructions</w:t>
      </w:r>
    </w:p>
    <w:p>
      <w:pPr>
        <w:pStyle w:val="FirstParagraph"/>
      </w:pPr>
      <w:r>
        <w:t xml:space="preserve">The analysis is organized as a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pipeline. From the repository root,</w:t>
      </w:r>
      <w:r>
        <w:t xml:space="preserve"> </w:t>
      </w:r>
      <w:r>
        <w:t xml:space="preserve">restore the project environment with</w:t>
      </w:r>
      <w:r>
        <w:t xml:space="preserve"> </w:t>
      </w:r>
      <w:r>
        <w:rPr>
          <w:rStyle w:val="VerbatimChar"/>
        </w:rPr>
        <w:t xml:space="preserve">renv::restore()</w:t>
      </w:r>
      <w:r>
        <w:t xml:space="preserve"> </w:t>
      </w:r>
      <w:r>
        <w:t xml:space="preserve">if needed, then run the</w:t>
      </w:r>
      <w:r>
        <w:t xml:space="preserve"> </w:t>
      </w:r>
      <w:r>
        <w:t xml:space="preserve">pipeline with:</w:t>
      </w:r>
    </w:p>
    <w:p>
      <w:pPr>
        <w:pStyle w:val="SourceCode"/>
      </w:pPr>
      <w:r>
        <w:rPr>
          <w:rStyle w:val="NormalTok"/>
        </w:rPr>
        <w:t xml:space="preserve">targets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tar_make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 pipeline defaults to</w:t>
      </w:r>
      <w:r>
        <w:t xml:space="preserve"> </w:t>
      </w:r>
      <w:r>
        <w:rPr>
          <w:rStyle w:val="VerbatimChar"/>
        </w:rPr>
        <w:t xml:space="preserve">FLU_TARGETS_MODE=test</w:t>
      </w:r>
      <w:r>
        <w:t xml:space="preserve">, which uses reduced stochastic</w:t>
      </w:r>
      <w:r>
        <w:t xml:space="preserve"> </w:t>
      </w:r>
      <w:r>
        <w:t xml:space="preserve">settings for development checks. Publication-scale settings are selected by</w:t>
      </w:r>
      <w:r>
        <w:t xml:space="preserve"> </w:t>
      </w:r>
      <w:r>
        <w:t xml:space="preserve">setting</w:t>
      </w:r>
      <w:r>
        <w:t xml:space="preserve"> </w:t>
      </w:r>
      <w:r>
        <w:rPr>
          <w:rStyle w:val="VerbatimChar"/>
        </w:rPr>
        <w:t xml:space="preserve">FLU_TARGETS_MODE=full</w:t>
      </w:r>
      <w:r>
        <w:t xml:space="preserve"> </w:t>
      </w:r>
      <w:r>
        <w:t xml:space="preserve">before running the pipeline. The Mantel</w:t>
      </w:r>
      <w:r>
        <w:t xml:space="preserve"> </w:t>
      </w:r>
      <w:r>
        <w:t xml:space="preserve">correlation table in the main manuscript is generated from</w:t>
      </w:r>
      <w:r>
        <w:t xml:space="preserve"> </w:t>
      </w:r>
      <w:r>
        <w:rPr>
          <w:rStyle w:val="VerbatimChar"/>
        </w:rPr>
        <w:t xml:space="preserve">cophenetic_mantel_summary</w:t>
      </w:r>
      <w:r>
        <w:t xml:space="preserve">, written to</w:t>
      </w:r>
      <w:r>
        <w:t xml:space="preserve"> </w:t>
      </w:r>
      <w:r>
        <w:rPr>
          <w:rStyle w:val="VerbatimChar"/>
        </w:rPr>
        <w:t xml:space="preserve">results/derived/cophenetic-mantel-summary.rds</w:t>
      </w:r>
      <w:r>
        <w:t xml:space="preserve">, and rendered as</w:t>
      </w:r>
      <w:r>
        <w:t xml:space="preserve"> </w:t>
      </w:r>
      <w:r>
        <w:rPr>
          <w:rStyle w:val="VerbatimChar"/>
        </w:rPr>
        <w:t xml:space="preserve">results/Tables/distance-mantel-table.rds</w:t>
      </w:r>
      <w:r>
        <w:t xml:space="preserve">.</w:t>
      </w:r>
    </w:p>
    <w:p>
      <w:pPr>
        <w:pStyle w:val="BodyText"/>
      </w:pPr>
      <w:r>
        <w:t xml:space="preserve">The raw sequence input is</w:t>
      </w:r>
      <w:r>
        <w:t xml:space="preserve"> </w:t>
      </w:r>
      <w:r>
        <w:rPr>
          <w:rStyle w:val="VerbatimChar"/>
        </w:rPr>
        <w:t xml:space="preserve">data/UGAFluVac-sequences.csv</w:t>
      </w:r>
      <w:r>
        <w:t xml:space="preserve">, a protein-sequence</w:t>
      </w:r>
      <w:r>
        <w:t xml:space="preserve"> </w:t>
      </w:r>
      <w:r>
        <w:t xml:space="preserve">source table with strain names, short names, source databases, accession</w:t>
      </w:r>
      <w:r>
        <w:t xml:space="preserve"> </w:t>
      </w:r>
      <w:r>
        <w:t xml:space="preserve">numbers, source full-length flags, and hemagglutinin protein sequences. The</w:t>
      </w:r>
      <w:r>
        <w:t xml:space="preserve"> </w:t>
      </w:r>
      <w:r>
        <w:t xml:space="preserve">pipeline restricts analysis inclusion to H1N1 and H3N2 sequence rows that can</w:t>
      </w:r>
      <w:r>
        <w:t xml:space="preserve"> </w:t>
      </w:r>
      <w:r>
        <w:t xml:space="preserve">be matched to antigens in the stored cartography maps. Sequence records outside</w:t>
      </w:r>
      <w:r>
        <w:t xml:space="preserve"> </w:t>
      </w:r>
      <w:r>
        <w:t xml:space="preserve">those stored maps are retained in the source table for provenance but are not</w:t>
      </w:r>
      <w:r>
        <w:t xml:space="preserve"> </w:t>
      </w:r>
      <w:r>
        <w:t xml:space="preserve">used in the distance comparisons in this manuscript.</w:t>
      </w:r>
    </w:p>
    <w:bookmarkEnd w:id="20"/>
    <w:bookmarkStart w:id="25" w:name="strain-inclusion-and-provenance-audit"/>
    <w:p>
      <w:pPr>
        <w:pStyle w:val="Heading1"/>
      </w:pPr>
      <w:r>
        <w:t xml:space="preserve">2. Strain Inclusion and Provenance Audit</w:t>
      </w:r>
    </w:p>
    <w:p>
      <w:pPr>
        <w:pStyle w:val="FirstParagraph"/>
      </w:pPr>
      <w:r>
        <w:t xml:space="preserve">The strain audit tables below trace the current analysis panel from the source</w:t>
      </w:r>
      <w:r>
        <w:t xml:space="preserve"> </w:t>
      </w:r>
      <w:r>
        <w:t xml:space="preserve">sequence table through cartography-overlap inclusion, sequence completeness</w:t>
      </w:r>
      <w:r>
        <w:t xml:space="preserve"> </w:t>
      </w:r>
      <w:r>
        <w:t xml:space="preserve">checks, and unique pairwise distance comparisons. Source sequence rows absent</w:t>
      </w:r>
      <w:r>
        <w:t xml:space="preserve"> </w:t>
      </w:r>
      <w:r>
        <w:t xml:space="preserve">from the stored cartography maps are reported as excluded from the current</w:t>
      </w:r>
      <w:r>
        <w:t xml:space="preserve"> </w:t>
      </w:r>
      <w:r>
        <w:t xml:space="preserve">analysis rather than as missing sequence records.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strain-flow-audit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Flow-style audit of source sequence rows, analysis-panel inclusion, sequence completeness, and unique pairwise distance counts.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878"/>
              <w:gridCol w:w="2853"/>
              <w:gridCol w:w="736"/>
              <w:gridCol w:w="484"/>
              <w:gridCol w:w="3409"/>
            </w:tblGrid>
            <w:tr>
              <w:trPr>
                <w:trHeight w:val="614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stage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category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detail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Source sequence CSV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raw_sequence_rows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all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raw_sequence_rows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raw_sequence_rows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missing_source_rows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missing_accession_rows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missing_protein_sequence_rows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Analysis inclusion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analysis_sequence_rows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analysis_sequence_rows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analysis_sequence_rows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excluded_absent_from_cartography_maps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PR/34, GD/19, Vic/19, Br/07, HK/19, Tas/20, Dar/21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Sequence completeness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source_non_full_length_rows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MS/85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analysis_non_full_length_rows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MS/85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alignment_non_full_length_rows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MS/85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Pairwise distance matrices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unique_pairwise_comparisons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unique_pairwise_comparisons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unique_pairwise_comparisons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pepi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unique_pairwise_comparisons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unique_pairwise_comparisons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unique_pairwise_comparisons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unique_pairwise_comparisons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pepi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unique_pairwise_comparisons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</w:t>
                  </w:r>
                </w:p>
              </w:tc>
            </w:tr>
          </w:tbl>
          <w:bookmarkEnd w:id="2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equence-source-summa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Sequence source counts by subtype and analysis-inclusion status.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612"/>
              <w:gridCol w:w="3667"/>
              <w:gridCol w:w="2810"/>
              <w:gridCol w:w="1272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Inclusion status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Sequence source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Rows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excluded_from_analysis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excluded_from_analysis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Gisaid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Gisaid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excluded_from_analysis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Gisaid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</w:tr>
          </w:tbl>
          <w:bookmarkEnd w:id="22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rain-provenance-accession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Source database, accession, source and alignment full-length flags, and inclusion status for each row in the source sequence table.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379"/>
              <w:gridCol w:w="482"/>
              <w:gridCol w:w="1506"/>
              <w:gridCol w:w="1007"/>
              <w:gridCol w:w="661"/>
              <w:gridCol w:w="562"/>
              <w:gridCol w:w="657"/>
              <w:gridCol w:w="551"/>
              <w:gridCol w:w="832"/>
              <w:gridCol w:w="745"/>
              <w:gridCol w:w="863"/>
              <w:gridCol w:w="1114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Short name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Strain name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Analysis name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Sequence source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Accession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Source full length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Protein length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Aligned non-gap length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Alignment full length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Inclusion status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Exclusion reason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SC/18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A/H1N1/South Carolina/1/1918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H1N1-South Carolina-1918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AAD17229.1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PR/34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A/H1N1/Puerto Rico/8/1934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AGU93019.1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excluded_from_analysis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absent_from_cartography_maps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Wei/43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A/H1N1/Weiss/1943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H1N1-Weiss-1943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ABD79101.1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FM/47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A/H1N1/Fort Monmouth/1/1947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H1N1-Fort Monmouth-1947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AAA67338.1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Den/57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A/H1N1/Denver/1957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H1N1-Denver-1957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ABD15258.1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NJ/76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A/H1N1/New Jersey/8/1976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H1N1-New Jersey-1976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AGB51356.1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USSR/77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A/H1N1/USSR/90/1977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H1N1-Ussr-1977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ABD95350.1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Bra/78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A/H1N1/Brazil/11/1978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H1N1-Brazil-1978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ABO38065.1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CA/78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A/H1N1/California/10/1978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H1N1-California-1978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ABP49338.1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Chi/83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A/H1N1/Chile/1/1983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H1N1-Chile-1983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ABO38340.1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Sing/86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A/H1N1/Singapore/6/1986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H1N1-Singapore-1986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ABO38395.1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TX/91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A/H1N1/Texas/36/1991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H1N1-Texas-1991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ACF41933.1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Bei/95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A/H1N1/Beijing/262/1995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H1N1-Beijing-1995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ACF41867.1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NC/99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A/H1N1/New Caledonia/20/1999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H1N1-New Caledonia-1999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AAP34324.1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SI/06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A/H1N1/Solomon Islands/3/2006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H1N1-Solomon Islands-2006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ABU99109.1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Bris/07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A/H1N1/Brisbane/59/2007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H1N1-Brisbane-2007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ADE28750.1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CA/09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A/H1N1/California/07/2009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H1N1-California-2009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ACP41953.1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MI/15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A/H1N1/Michigan/45/2015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H1N1-Michigan-2015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AMV49034.1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Bris/18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A/H1N1/Brisbane/02/2018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H1N1-Brisbane-2018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Gisaid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EPI1415369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GD/19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A/H1N1/Guangdong-Maonan/SWL1536/2019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Gisaid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EPI3133357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excluded_from_analysis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absent_from_cartography_maps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Vic/19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A/H1N1/Victoria/2570/2019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WEY08940.1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excluded_from_analysis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absent_from_cartography_maps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HK/68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A/H3N2/Hong Kong/8/1968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H3N2-Hong Kong-1968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ABQ97200.1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PC/73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A/H3N2/Port Chalmers/1/1973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H3N2-Port Chalmers-1973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ABE12532.1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TX/77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A/H3N2/Texas/1/1977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H3N2-Texas-1977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AFM68965.1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MS/85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A/H3N2/Mississippi/1/1985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H3N2-Mississippi-1985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AAA62338.1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false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false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Sich/87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A/H3N2/Sichuan/2/1987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H3N2-Sichuan-1987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AFG72085.1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Shan/93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A/H3N2/Shandong/9/1993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H3N2-Shangdong-1993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AFH00285.1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Nan/95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A/H3N2/Nanchang/933/1995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H3N2-Nanchang-1995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AFG72625.1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Syd/97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A/H3N2/Sydney/5/1997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H3N2-Sydney-1997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ACO95259.1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Pan/99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A/H3N2/Panama/2007/1999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H3N2-Panama-1999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ABF21273.1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Fuj/02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A/H3N2/Fujian/411/2002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H3N2-Fujian-2002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AFG72823.1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NY/04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A/H3N2/New York/55/2004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H3N2-New York-2004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ACF41900.1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WI/05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A/H3N2/Wisconsin/67/2005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H3N2-Wisconsin-2005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AHG96791.1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Br/07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A/H3N2/Brisbane/10/2007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AIW60702.1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excluded_from_analysis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absent_from_cartography_maps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Uru/07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A/H3N2/Uruguay/716/2007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H3N2-Uruguay-2007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ACD47213.1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Per/09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A/H3N2/Perth/16/2009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H3N2-Perth-2009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ACS71642.1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Vic/11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A/H3N2/Victoria/361/2011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H3N2-Victoria-2011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AIU46088.1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TX/12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A/H3N2/Texas/50/2012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H3N2-Texas-2012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AGL07159.1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Switz/13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A/H3N2/Switzerland/9715293/2013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H3N2-Switzerland-2013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Gisaid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EPI530687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HK/14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A/H3N2/Hong Kong/4801/2014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H3N2-Hong Kong-2014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Gisaid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EPI834581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Sing/16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A/H3N2/Singapore/infimh-16-0019/2016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H3N2-Singapore-2016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Gisaid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EPI780183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KS/17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A/H3N2/Kansas/14/2017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H3N2-Kansas-2017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AVG71503.1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SA/19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A/H3N2/South Australia/34/2019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H3N2-South Australia-2019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Gisaid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EPI1387331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included_in_analysis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HK/19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A/H3N2/Hong Kong/2671/2019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WMW30924.1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excluded_from_analysis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absent_from_cartography_maps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Tas/20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A/H3N2/Tasmania/503/2020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WMW30850.1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excluded_from_analysis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absent_from_cartography_maps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Dar/21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A/H3N2/Darwin/9/2021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GenBank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WND60806.1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true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excluded_from_analysis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absent_from_cartography_maps</w:t>
                  </w:r>
                </w:p>
              </w:tc>
            </w:tr>
          </w:tbl>
          <w:bookmarkEnd w:id="23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strain-pair-count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4: Unique off-diagonal pair counts by subtype and distance metric.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858"/>
              <w:gridCol w:w="1797"/>
              <w:gridCol w:w="1375"/>
              <w:gridCol w:w="1823"/>
              <w:gridCol w:w="1849"/>
              <w:gridCol w:w="1659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Method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Included strains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Expected unique pairs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Observed unique pairs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Pair count complete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Cartographic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Temporal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Cartographic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Temporal distance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</w:tbl>
          <w:bookmarkEnd w:id="24"/>
        </w:tc>
      </w:tr>
    </w:tbl>
    <w:bookmarkEnd w:id="25"/>
    <w:bookmarkStart w:id="29" w:name="Xcc2669ca57e8f985fbb729b1c6161b69ed0f86f"/>
    <w:p>
      <w:pPr>
        <w:pStyle w:val="Heading1"/>
      </w:pPr>
      <w:r>
        <w:t xml:space="preserve">3. Sequence Completeness and Missing-Data Sensitivity</w:t>
      </w:r>
    </w:p>
    <w:p>
      <w:pPr>
        <w:pStyle w:val="FirstParagraph"/>
      </w:pPr>
      <w:r>
        <w:t xml:space="preserve">For sequence-derived distances, the primary analysis uses pairwise deletion of</w:t>
      </w:r>
      <w:r>
        <w:t xml:space="preserve"> </w:t>
      </w:r>
      <w:r>
        <w:t xml:space="preserve">non-comparable aligned positions. In each strain pair, standard amino-acid</w:t>
      </w:r>
      <w:r>
        <w:t xml:space="preserve"> </w:t>
      </w:r>
      <w:r>
        <w:t xml:space="preserve">residues are comparable; alignment gaps, ambiguous or missing residue codes,</w:t>
      </w:r>
      <w:r>
        <w:t xml:space="preserve"> </w:t>
      </w:r>
      <w:r>
        <w:t xml:space="preserve">and known nonstandard amino-acid codes are excluded from the relevant</w:t>
      </w:r>
      <w:r>
        <w:t xml:space="preserve"> </w:t>
      </w:r>
      <w:r>
        <w:t xml:space="preserve">denominator rather than counted as zero-distance substitutions. This matches</w:t>
      </w:r>
      <w:r>
        <w:t xml:space="preserve"> </w:t>
      </w:r>
      <w:r>
        <w:t xml:space="preserve">the pairwise-deletion behavior commonly used for sequence distances when gaps</w:t>
      </w:r>
      <w:r>
        <w:t xml:space="preserve"> </w:t>
      </w:r>
      <w:r>
        <w:t xml:space="preserve">or missing states are sparse. As a cheap sensitivity check, we also computed</w:t>
      </w:r>
      <w:r>
        <w:t xml:space="preserve"> </w:t>
      </w:r>
      <w:r>
        <w:t xml:space="preserve">complete-deletion sequence distances, where sites containing any</w:t>
      </w:r>
      <w:r>
        <w:t xml:space="preserve"> </w:t>
      </w:r>
      <w:r>
        <w:t xml:space="preserve">non-comparable character in any included strain within subtype are removed</w:t>
      </w:r>
      <w:r>
        <w:t xml:space="preserve"> </w:t>
      </w:r>
      <w:r>
        <w:t xml:space="preserve">before pairwise distances are calculated.</w:t>
      </w:r>
    </w:p>
    <w:p>
      <w:pPr>
        <w:pStyle w:val="BodyText"/>
      </w:pPr>
      <w:r>
        <w:t xml:space="preserve">The complete-sequence sensitivity below removes included strains that are not</w:t>
      </w:r>
      <w:r>
        <w:t xml:space="preserve"> </w:t>
      </w:r>
      <w:r>
        <w:t xml:space="preserve">full-length by source or alignment audit from the existing distance matrices.</w:t>
      </w:r>
      <w:r>
        <w:t xml:space="preserve"> </w:t>
      </w:r>
      <w:r>
        <w:t xml:space="preserve">This matrix-subsetting check does not refit the multiple sequence alignment,</w:t>
      </w:r>
      <w:r>
        <w:t xml:space="preserve"> </w:t>
      </w:r>
      <w:r>
        <w:t xml:space="preserve">maximum-likelihood trees, distance-based trees, or cartography maps. If only</w:t>
      </w:r>
      <w:r>
        <w:t xml:space="preserve"> </w:t>
      </w:r>
      <w:r>
        <w:t xml:space="preserve">one included strain is non-full-length, the subtype-specific matrix result is</w:t>
      </w:r>
      <w:r>
        <w:t xml:space="preserve"> </w:t>
      </w:r>
      <w:r>
        <w:t xml:space="preserve">equivalent to the corresponding leave-one-strain-out matrix-removal result, but</w:t>
      </w:r>
      <w:r>
        <w:t xml:space="preserve"> </w:t>
      </w:r>
      <w:r>
        <w:t xml:space="preserve">the target is reported separately to make the complete-sequence audit explicit.</w:t>
      </w:r>
    </w:p>
    <w:p>
      <w:pPr>
        <w:pStyle w:val="BodyText"/>
      </w:pPr>
      <w:r>
        <w:t xml:space="preserve">More complex alternatives, including complete-sequence-only alignment and ML</w:t>
      </w:r>
      <w:r>
        <w:t xml:space="preserve"> </w:t>
      </w:r>
      <w:r>
        <w:t xml:space="preserve">tree refitting or treating gaps as a separate phylogenetic state, are deferred</w:t>
      </w:r>
      <w:r>
        <w:t xml:space="preserve"> </w:t>
      </w:r>
      <w:r>
        <w:t xml:space="preserve">unless requested because they answer broader questions and can be substantially</w:t>
      </w:r>
      <w:r>
        <w:t xml:space="preserve"> </w:t>
      </w:r>
      <w:r>
        <w:t xml:space="preserve">more computationally expensive.</w:t>
      </w:r>
    </w:p>
    <w:p>
      <w:pPr>
        <w:pStyle w:val="BodyText"/>
      </w:pPr>
      <w:r>
        <w:t xml:space="preserve">For the matrix-association summaries below, rows are flagged when the absolute</w:t>
      </w:r>
      <w:r>
        <w:t xml:space="preserve"> </w:t>
      </w:r>
      <w:r>
        <w:t xml:space="preserve">association change is at least 0.10 correlation units, matching the</w:t>
      </w:r>
      <w:r>
        <w:t xml:space="preserve"> </w:t>
      </w:r>
      <w:r>
        <w:t xml:space="preserve">leave-one-strain-out influence convention.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sequence-character-audit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5: Aligned sequence character audit by residue class. Unexpected characters should be reviewed against source data before publication-scale interpretation.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386"/>
              <w:gridCol w:w="1021"/>
              <w:gridCol w:w="1819"/>
              <w:gridCol w:w="862"/>
              <w:gridCol w:w="5272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Residue class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Characters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Aligned character count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Strains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Alignment gap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Bei/95, Bris/07, Den/57, NC/99, SI/06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Standard amino-acid residue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A, C, D, E, F, G, H, I, K, L, M, N, P, Q, R, S, T, V, W, Y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10,183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Bei/95, Bra/78, Bris/07, Bris/18, CA/09, CA/78, Chi/83, Den/57, FM/47, MI/15, NC/99, NJ/76, SC/18, SI/06, Sing/86, TX/91, USSR/77, Wei/43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Alignment gap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MS/85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Standard amino-acid residue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A, C, D, E, F, G, H, I, K, L, M, N, P, Q, R, S, T, V, W, Y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11,649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Fuj/02, HK/14, HK/68, KS/17, MS/85, Nan/95, NY/04, Pan/99, PC/73, Per/09, SA/19, Shan/93, Sich/87, Sing/16, Switz/13, Syd/97, TX/12, TX/77, Uru/07, Vic/11, WI/05</w:t>
                  </w:r>
                </w:p>
              </w:tc>
            </w:tr>
          </w:tbl>
          <w:bookmarkEnd w:id="2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complete-sequence-sensitivit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6: Complete-sequence-only matrix sensitivity after excluding included strains that are not full-length by source or alignment audit. Estimates are matrix-association point estimates using existing fitted analysis objects; alignments, ML trees, and cartography maps are not refit.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870"/>
              <w:gridCol w:w="416"/>
              <w:gridCol w:w="1200"/>
              <w:gridCol w:w="1004"/>
              <w:gridCol w:w="1554"/>
              <w:gridCol w:w="566"/>
              <w:gridCol w:w="1116"/>
              <w:gridCol w:w="699"/>
              <w:gridCol w:w="699"/>
              <w:gridCol w:w="616"/>
              <w:gridCol w:w="620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Comparison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 non-full-length strains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Full pairwise comparisons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Complete-sequence pairwise comparisons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Full estimate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Complete-sequence estimate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Estimate change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Absolute change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Flag threshold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Sensitivity flag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Temporal distance</w:t>
                  </w:r>
                </w:p>
              </w:tc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none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none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none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Cartographic distance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none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Temporal distance</w:t>
                  </w:r>
                </w:p>
              </w:tc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MS/85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MS/85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MS/85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Cartographic distance</w:t>
                  </w:r>
                </w:p>
              </w:tc>
              <w:tc>
                <w:tcPr>
                  <w:vMerge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MS/85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</w:tbl>
          <w:bookmarkEnd w:id="2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equence-missing-data-sensitivit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7: Pairwise-deletion versus complete-deletion sensitivity for sequence-derived distances. Estimates compare each sequence-derived distance matrix with the existing ML-tree cophenetic distance.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510"/>
              <w:gridCol w:w="274"/>
              <w:gridCol w:w="546"/>
              <w:gridCol w:w="598"/>
              <w:gridCol w:w="546"/>
              <w:gridCol w:w="801"/>
              <w:gridCol w:w="820"/>
              <w:gridCol w:w="463"/>
              <w:gridCol w:w="515"/>
              <w:gridCol w:w="461"/>
              <w:gridCol w:w="661"/>
              <w:gridCol w:w="406"/>
              <w:gridCol w:w="408"/>
              <w:gridCol w:w="680"/>
              <w:gridCol w:w="790"/>
              <w:gridCol w:w="881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Comparison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Primary deletion rule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Sensitivity deletion rule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 candidate sites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Complete-deletion retained sites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Complete-deletion excluded sites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Primary estimate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Sensitivity estimate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Estimate change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Absolute estimate change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Flag threshold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Sensitivity flag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Distance-matrix correlation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Mean absolute distance change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Maximum absolute distance change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pairwise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complete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0.066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0.155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pairwise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complete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4.385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pairwise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complete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pairwise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complete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</w:t>
                  </w:r>
                </w:p>
              </w:tc>
            </w:tr>
          </w:tbl>
          <w:bookmarkEnd w:id="28"/>
        </w:tc>
      </w:tr>
    </w:tbl>
    <w:bookmarkEnd w:id="29"/>
    <w:bookmarkStart w:id="31" w:name="secondary-sequence-distance-sensitivity"/>
    <w:p>
      <w:pPr>
        <w:pStyle w:val="Heading1"/>
      </w:pPr>
      <w:r>
        <w:t xml:space="preserve">4. Secondary Sequence-Distance Sensitivity</w:t>
      </w:r>
    </w:p>
    <w:p>
      <w:pPr>
        <w:pStyle w:val="FirstParagraph"/>
      </w:pPr>
      <w:r>
        <w:t xml:space="preserve">The primary whole-sequence amino-acid metric remains Grantham distance, and</w:t>
      </w:r>
      <w:r>
        <w:t xml:space="preserve"> </w:t>
      </w:r>
      <w:r>
        <w:t xml:space="preserve">the primary epitope-level sequence metric remains</w:t>
      </w:r>
      <w:r>
        <w:t xml:space="preserve"> </w:t>
      </w:r>
      <m:oMath>
        <m:r>
          <m:t>p</m:t>
        </m:r>
      </m:oMath>
      <w:r>
        <w:t xml:space="preserve">-Epitope distance. As</w:t>
      </w:r>
      <w:r>
        <w:t xml:space="preserve"> </w:t>
      </w:r>
      <w:r>
        <w:t xml:space="preserve">supplementary sensitivity metrics, the pipeline also computes amino-acid</w:t>
      </w:r>
      <w:r>
        <w:t xml:space="preserve"> </w:t>
      </w:r>
      <w:r>
        <w:t xml:space="preserve">Hamming distance, normalized optimal string alignment distance,</w:t>
      </w:r>
      <w:r>
        <w:t xml:space="preserve"> </w:t>
      </w:r>
      <m:oMath>
        <m:r>
          <m:t>p</m:t>
        </m:r>
      </m:oMath>
      <w:r>
        <w:t xml:space="preserve">-all-epitope distance, and a BLOSUM62-derived dissimilarity. These metrics</w:t>
      </w:r>
      <w:r>
        <w:t xml:space="preserve"> </w:t>
      </w:r>
      <w:r>
        <w:t xml:space="preserve">are intended to check whether the qualitative matrix-association pattern is</w:t>
      </w:r>
      <w:r>
        <w:t xml:space="preserve"> </w:t>
      </w:r>
      <w:r>
        <w:t xml:space="preserve">similar under simpler or alternative sequence distances; they are not part of</w:t>
      </w:r>
      <w:r>
        <w:t xml:space="preserve"> </w:t>
      </w:r>
      <w:r>
        <w:t xml:space="preserve">the primary four distance metrics.</w:t>
      </w:r>
    </w:p>
    <w:p>
      <w:pPr>
        <w:pStyle w:val="BodyText"/>
      </w:pPr>
      <w:r>
        <w:t xml:space="preserve">All secondary sequence distances use the same pairwise-deletion rule as the</w:t>
      </w:r>
      <w:r>
        <w:t xml:space="preserve"> </w:t>
      </w:r>
      <w:r>
        <w:t xml:space="preserve">primary sequence-derived distances. Hamming distance is the proportion of</w:t>
      </w:r>
      <w:r>
        <w:t xml:space="preserve"> </w:t>
      </w:r>
      <w:r>
        <w:t xml:space="preserve">comparable aligned amino-acid sites that differ. Optimal string alignment is</w:t>
      </w:r>
      <w:r>
        <w:t xml:space="preserve"> </w:t>
      </w:r>
      <w:r>
        <w:t xml:space="preserve">computed after pairwise deletion of non-comparable aligned sites and normalized</w:t>
      </w:r>
      <w:r>
        <w:t xml:space="preserve"> </w:t>
      </w:r>
      <w:r>
        <w:t xml:space="preserve">by the number of comparable sites.</w:t>
      </w:r>
      <w:r>
        <w:t xml:space="preserve"> </w:t>
      </w:r>
      <m:oMath>
        <m:r>
          <m:t>p</m:t>
        </m:r>
      </m:oMath>
      <w:r>
        <w:t xml:space="preserve">-all-epitope uses the same H1N1 and H3N2</w:t>
      </w:r>
      <w:r>
        <w:t xml:space="preserve"> </w:t>
      </w:r>
      <w:r>
        <w:t xml:space="preserve">epitope site sets as</w:t>
      </w:r>
      <w:r>
        <w:t xml:space="preserve"> </w:t>
      </w:r>
      <m:oMath>
        <m:r>
          <m:t>p</m:t>
        </m:r>
      </m:oMath>
      <w:r>
        <w:t xml:space="preserve">-Epitope but averages the five epitope-specific</w:t>
      </w:r>
      <w:r>
        <w:t xml:space="preserve"> </w:t>
      </w:r>
      <w:r>
        <w:t xml:space="preserve">Hamming distances rather than taking the maximum. BLOSUM62 dissimilarity is</w:t>
      </w:r>
      <w:r>
        <w:t xml:space="preserve"> </w:t>
      </w:r>
      <w:r>
        <w:t xml:space="preserve">computed per comparable aligned site as</w:t>
      </w:r>
      <w:r>
        <w:t xml:space="preserve"> </w:t>
      </w:r>
      <w:r>
        <w:rPr>
          <w:rStyle w:val="VerbatimChar"/>
        </w:rPr>
        <w:t xml:space="preserve">S(a,a) + S(b,b) - 2 * S(a,b)</w:t>
      </w:r>
      <w:r>
        <w:t xml:space="preserve"> </w:t>
      </w:r>
      <w:r>
        <w:t xml:space="preserve">from the BLOSUM62 substitution score matrix,</w:t>
      </w:r>
      <w:r>
        <w:t xml:space="preserve"> </w:t>
      </w:r>
      <w:r>
        <w:t xml:space="preserve">then averaged across comparable sites.</w:t>
      </w:r>
    </w:p>
    <w:p>
      <w:pPr>
        <w:pStyle w:val="BodyText"/>
      </w:pPr>
      <w:r>
        <w:t xml:space="preserve">The secondary matrix-sensitivity table compares each secondary metric’s</w:t>
      </w:r>
      <w:r>
        <w:t xml:space="preserve"> </w:t>
      </w:r>
      <w:r>
        <w:t xml:space="preserve">association with the primary ML-tree cophenetic distance against the closest</w:t>
      </w:r>
      <w:r>
        <w:t xml:space="preserve"> </w:t>
      </w:r>
      <w:r>
        <w:t xml:space="preserve">primary sequence-distance comparator. Hamming, optimal string alignment, and</w:t>
      </w:r>
      <w:r>
        <w:t xml:space="preserve"> </w:t>
      </w:r>
      <w:r>
        <w:t xml:space="preserve">BLOSUM62 are compared against Grantham distance;</w:t>
      </w:r>
      <w:r>
        <w:t xml:space="preserve"> </w:t>
      </w:r>
      <m:oMath>
        <m:r>
          <m:t>p</m:t>
        </m:r>
      </m:oMath>
      <w:r>
        <w:t xml:space="preserve">-all-epitope is compared</w:t>
      </w:r>
      <w:r>
        <w:t xml:space="preserve"> </w:t>
      </w:r>
      <w:r>
        <w:t xml:space="preserve">against</w:t>
      </w:r>
      <w:r>
        <w:t xml:space="preserve"> </w:t>
      </w:r>
      <m:oMath>
        <m:r>
          <m:t>p</m:t>
        </m:r>
      </m:oMath>
      <w:r>
        <w:t xml:space="preserve">-Epitope distance. Rows are flagged when the absolute association</w:t>
      </w:r>
      <w:r>
        <w:t xml:space="preserve"> </w:t>
      </w:r>
      <w:r>
        <w:t xml:space="preserve">change is at least 0.10 correlation units. These metrics are not used to build</w:t>
      </w:r>
      <w:r>
        <w:t xml:space="preserve"> </w:t>
      </w:r>
      <w:r>
        <w:t xml:space="preserve">neighbor-joining trees unless full-mode outputs show a major difference or a</w:t>
      </w:r>
      <w:r>
        <w:t xml:space="preserve"> </w:t>
      </w:r>
      <w:r>
        <w:t xml:space="preserve">coauthor or reviewer requests those topology checks.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Xbce9d4ff073c86c257048772080b325841a53d4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8: Supplementary secondary sequence-distance sensitivity metrics. Estimates compare each secondary metric with ML-tree cophenetic distance and with its closest primary sequence-distance comparator.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307"/>
              <w:gridCol w:w="395"/>
              <w:gridCol w:w="836"/>
              <w:gridCol w:w="1193"/>
              <w:gridCol w:w="1298"/>
              <w:gridCol w:w="735"/>
              <w:gridCol w:w="840"/>
              <w:gridCol w:w="731"/>
              <w:gridCol w:w="731"/>
              <w:gridCol w:w="644"/>
              <w:gridCol w:w="648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Comparison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Scope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Primary comparator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Primary pairwise comparisons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Secondary pairwise comparisons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Primary estimate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Secondary estimate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Estimate change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Absolute change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Flag threshold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Sensitivity flag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Hamming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Optimal string alignment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p-all-epitope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BLOSUM62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</w:tbl>
          <w:bookmarkEnd w:id="30"/>
        </w:tc>
      </w:tr>
    </w:tbl>
    <w:bookmarkEnd w:id="31"/>
    <w:bookmarkStart w:id="34" w:name="alignment-sensitivity"/>
    <w:p>
      <w:pPr>
        <w:pStyle w:val="Heading1"/>
      </w:pPr>
      <w:r>
        <w:t xml:space="preserve">5. Alignment Sensitivity</w:t>
      </w:r>
    </w:p>
    <w:p>
      <w:pPr>
        <w:pStyle w:val="FirstParagraph"/>
      </w:pPr>
      <w:r>
        <w:t xml:space="preserve">The primary sequence analysis uses MUSCLE protein alignments through the</w:t>
      </w:r>
      <w:r>
        <w:t xml:space="preserve"> </w:t>
      </w:r>
      <w:r>
        <w:rPr>
          <w:rStyle w:val="VerbatimChar"/>
        </w:rPr>
        <w:t xml:space="preserve">msa</w:t>
      </w:r>
      <w:r>
        <w:t xml:space="preserve"> </w:t>
      </w:r>
      <w:r>
        <w:t xml:space="preserve">package. As an alignment-method sensitivity check, the pipeline also</w:t>
      </w:r>
      <w:r>
        <w:t xml:space="preserve"> </w:t>
      </w:r>
      <w:r>
        <w:t xml:space="preserve">computes ClustalW and ClustalOmega protein alignments for the same included</w:t>
      </w:r>
      <w:r>
        <w:t xml:space="preserve"> </w:t>
      </w:r>
      <w:r>
        <w:t xml:space="preserve">H1N1 and H3N2 strain panels. Nucleotide alignments and nucleotide distances are</w:t>
      </w:r>
      <w:r>
        <w:t xml:space="preserve"> </w:t>
      </w:r>
      <w:r>
        <w:t xml:space="preserve">not included because the current distance metrics and tree models are based on</w:t>
      </w:r>
      <w:r>
        <w:t xml:space="preserve"> </w:t>
      </w:r>
      <w:r>
        <w:t xml:space="preserve">hemagglutinin amino-acid sequences.</w:t>
      </w:r>
    </w:p>
    <w:p>
      <w:pPr>
        <w:pStyle w:val="BodyText"/>
      </w:pPr>
      <w:r>
        <w:t xml:space="preserve">The matrix-distance sensitivity below recomputes Grantham and p-epitope</w:t>
      </w:r>
      <w:r>
        <w:t xml:space="preserve"> </w:t>
      </w:r>
      <w:r>
        <w:t xml:space="preserve">distances under each alternative alignment and compares those distance matrices</w:t>
      </w:r>
      <w:r>
        <w:t xml:space="preserve"> </w:t>
      </w:r>
      <w:r>
        <w:t xml:space="preserve">with the primary MUSCLE ML-tree cophenetic distances. This analysis does not</w:t>
      </w:r>
      <w:r>
        <w:t xml:space="preserve"> </w:t>
      </w:r>
      <w:r>
        <w:t xml:space="preserve">refit ML trees, distance-based trees, or cartography maps under the alternative</w:t>
      </w:r>
      <w:r>
        <w:t xml:space="preserve"> </w:t>
      </w:r>
      <w:r>
        <w:t xml:space="preserve">alignments. Rows are flagged when the alternative-alignment estimate differs</w:t>
      </w:r>
      <w:r>
        <w:t xml:space="preserve"> </w:t>
      </w:r>
      <w:r>
        <w:t xml:space="preserve">from the primary estimate by at least 0.10 absolute correlation units.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alignment-distance-sensitivit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9: Matrix-only alignment sensitivity for sequence-derived distances. Alternative ClustalW and ClustalOmega distance matrices are compared with the primary MUSCLE ML-tree cophenetic distances.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783"/>
              <w:gridCol w:w="382"/>
              <w:gridCol w:w="754"/>
              <w:gridCol w:w="851"/>
              <w:gridCol w:w="1154"/>
              <w:gridCol w:w="1252"/>
              <w:gridCol w:w="711"/>
              <w:gridCol w:w="808"/>
              <w:gridCol w:w="707"/>
              <w:gridCol w:w="707"/>
              <w:gridCol w:w="623"/>
              <w:gridCol w:w="627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Comparison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Scope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Primary alignment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Alternative alignment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Primary pairwise comparisons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Alternative pairwise comparisons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Primary estimate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Alternative estimate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Estimate change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Absolute change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Flag threshold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Sensitivity flag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vMerge w:val="restart"/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Muscle</w:t>
                  </w:r>
                </w:p>
              </w:tc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ClustalW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ClustalOmega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vMerge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</w:tbl>
          <w:bookmarkEnd w:id="32"/>
        </w:tc>
      </w:tr>
    </w:tbl>
    <w:p>
      <w:pPr>
        <w:pStyle w:val="BodyText"/>
      </w:pPr>
      <w:r>
        <w:t xml:space="preserve">The model-selection sensitivity compares FLU-family amino-acid model-test</w:t>
      </w:r>
      <w:r>
        <w:t xml:space="preserve"> </w:t>
      </w:r>
      <w:r>
        <w:t xml:space="preserve">results across the primary and alternative alignments. A changed selected model</w:t>
      </w:r>
      <w:r>
        <w:t xml:space="preserve"> </w:t>
      </w:r>
      <w:r>
        <w:t xml:space="preserve">is recorded, but it is only flagged as materially alignment-sensitive when the</w:t>
      </w:r>
      <w:r>
        <w:t xml:space="preserve"> </w:t>
      </w:r>
      <w:r>
        <w:t xml:space="preserve">primary selected model’s log-likelihood loss under the alternative alignment</w:t>
      </w:r>
      <w:r>
        <w:t xml:space="preserve"> </w:t>
      </w:r>
      <w:r>
        <w:t xml:space="preserve">exceeds the same model-performance tolerance used for the primary</w:t>
      </w:r>
      <w:r>
        <w:t xml:space="preserve"> </w:t>
      </w:r>
      <w:r>
        <w:t xml:space="preserve">common-versus-subtype model rule.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alignment-model-sensitivit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10: Alignment sensitivity for FLU-family amino-acid model selection. The primary selected model is flagged only when its loss under an alternative alignment exceeds the approved model-performance tolerance.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394"/>
              <w:gridCol w:w="706"/>
              <w:gridCol w:w="797"/>
              <w:gridCol w:w="876"/>
              <w:gridCol w:w="967"/>
              <w:gridCol w:w="1014"/>
              <w:gridCol w:w="1042"/>
              <w:gridCol w:w="916"/>
              <w:gridCol w:w="1275"/>
              <w:gridCol w:w="584"/>
              <w:gridCol w:w="789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Primary alignment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Alternative alignment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Primary selected model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Alternative selected model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Alternative AICc-best model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Alternative selection strategy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Selected model changed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Primary selected model loss fraction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Flag threshold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Model sensitivity flag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vMerge w:val="restart"/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Muscle</w:t>
                  </w:r>
                </w:p>
              </w:tc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ClustalW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FLU+G(4)+I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FLU+G(4)+I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FLU+G(4)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common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FLU+G(4)+I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FLU+G(4)+I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FLU+G(4)+I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common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ClustalOmega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FLU+G(4)+I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FLU+G(4)+I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FLU+G(4)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common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vMerge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FLU+G(4)+I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FLU+G(4)+I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FLU+G(4)+I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common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</w:tbl>
          <w:bookmarkEnd w:id="33"/>
        </w:tc>
      </w:tr>
    </w:tbl>
    <w:bookmarkEnd w:id="34"/>
    <w:bookmarkStart w:id="36" w:name="tree-model-selection"/>
    <w:p>
      <w:pPr>
        <w:pStyle w:val="Heading1"/>
      </w:pPr>
      <w:r>
        <w:t xml:space="preserve">6. Tree Model Selection</w:t>
      </w:r>
    </w:p>
    <w:p>
      <w:pPr>
        <w:pStyle w:val="FirstParagraph"/>
      </w:pPr>
      <w:r>
        <w:t xml:space="preserve">For ML tree construction, the pipeline compares FLU-family amino-acid</w:t>
      </w:r>
      <w:r>
        <w:t xml:space="preserve"> </w:t>
      </w:r>
      <w:r>
        <w:t xml:space="preserve">substitution models</w:t>
      </w:r>
      <w:r>
        <w:t xml:space="preserve"> </w:t>
      </w:r>
      <w:r>
        <w:t xml:space="preserve">[1]</w:t>
      </w:r>
      <w:r>
        <w:t xml:space="preserve"> </w:t>
      </w:r>
      <w:r>
        <w:t xml:space="preserve">with and without invariant sites and discrete</w:t>
      </w:r>
      <w:r>
        <w:t xml:space="preserve"> </w:t>
      </w:r>
      <w:r>
        <w:t xml:space="preserve">gamma rate variation. In full mode, gamma category counts from 4 to 32 are</w:t>
      </w:r>
      <w:r>
        <w:t xml:space="preserve"> </w:t>
      </w:r>
      <w:r>
        <w:t xml:space="preserve">evaluated in increments of 4. Within each subtype, the lowest-AICc model is</w:t>
      </w:r>
      <w:r>
        <w:t xml:space="preserve"> </w:t>
      </w:r>
      <w:r>
        <w:t xml:space="preserve">identified</w:t>
      </w:r>
      <w:r>
        <w:t xml:space="preserve"> </w:t>
      </w:r>
      <w:r>
        <w:t xml:space="preserve">[2]</w:t>
      </w:r>
      <w:r>
        <w:t xml:space="preserve">. A common model is preferred for both subtypes</w:t>
      </w:r>
      <w:r>
        <w:t xml:space="preserve"> </w:t>
      </w:r>
      <w:r>
        <w:t xml:space="preserve">when its log-likelihood loss is no more than 10% relative to the</w:t>
      </w:r>
      <w:r>
        <w:t xml:space="preserve"> </w:t>
      </w:r>
      <w:r>
        <w:t xml:space="preserve">subtype-specific AICc-supported model. If no common model satisfies this</w:t>
      </w:r>
      <w:r>
        <w:t xml:space="preserve"> </w:t>
      </w:r>
      <w:r>
        <w:t xml:space="preserve">criterion, the pipeline uses subtype-specific models and the manuscript should</w:t>
      </w:r>
      <w:r>
        <w:t xml:space="preserve"> </w:t>
      </w:r>
      <w:r>
        <w:t xml:space="preserve">explicitly discuss why subtype-specific model choices were necessary.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tree-model-selection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11: FLU-family model comparison and selected model rule for ML tree fitting. Test-mode results use reduced gamma-category settings and should be regenerated in full mode before final manuscript interpretation.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574"/>
              <w:gridCol w:w="747"/>
              <w:gridCol w:w="1641"/>
              <w:gridCol w:w="309"/>
              <w:gridCol w:w="546"/>
              <w:gridCol w:w="511"/>
              <w:gridCol w:w="690"/>
              <w:gridCol w:w="493"/>
              <w:gridCol w:w="511"/>
              <w:gridCol w:w="1416"/>
              <w:gridCol w:w="793"/>
              <w:gridCol w:w="1128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Model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model_test_gamma_categories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logLik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AICc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Delta AICc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AICcw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BIC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Log-likelihood loss fraction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Best by AICc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Selected for ML tree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FLU+G(4)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-3470.5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7013.4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0.554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7156.5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FLU+G(4)+I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-3469.6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7014.0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7161.1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57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FLU+I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-3473.8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7020.1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7163.1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7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FLU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-3544.9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7159.9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146.5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7298.9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FLU+G(4)+I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-3068.5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6225.5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6396.8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FLU+G(4)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-3073.9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6234.0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6401.3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7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FLU+I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-3079.3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6244.9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6412.1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72" w:hRule="auto"/>
              </w:trPr>
              <w:tc>
                <w:tcPr>
                  <w:vMerge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FLU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-3152.6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6389.0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163.5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6552.3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0.0274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</w:tbl>
          <w:bookmarkEnd w:id="35"/>
        </w:tc>
      </w:tr>
    </w:tbl>
    <w:bookmarkEnd w:id="36"/>
    <w:bookmarkStart w:id="38" w:name="antigenic-cartography-input-diagnostics"/>
    <w:p>
      <w:pPr>
        <w:pStyle w:val="Heading1"/>
      </w:pPr>
      <w:r>
        <w:t xml:space="preserve">7. Antigenic Cartography Input Diagnostics</w:t>
      </w:r>
    </w:p>
    <w:p>
      <w:pPr>
        <w:pStyle w:val="FirstParagraph"/>
      </w:pPr>
      <w:r>
        <w:t xml:space="preserve">The cartographic distances in the main analysis are extracted from stored</w:t>
      </w:r>
      <w:r>
        <w:t xml:space="preserve"> </w:t>
      </w:r>
      <w:r>
        <w:t xml:space="preserve">Racmacs</w:t>
      </w:r>
      <w:r>
        <w:t xml:space="preserve"> </w:t>
      </w:r>
      <w:r>
        <w:rPr>
          <w:rStyle w:val="VerbatimChar"/>
        </w:rPr>
        <w:t xml:space="preserve">.ace</w:t>
      </w:r>
      <w:r>
        <w:t xml:space="preserve"> </w:t>
      </w:r>
      <w:r>
        <w:t xml:space="preserve">maps. These files are treated as first-pass cartography inputs</w:t>
      </w:r>
      <w:r>
        <w:t xml:space="preserve"> </w:t>
      </w:r>
      <w:r>
        <w:t xml:space="preserve">rather than a full reproduction of the upstream map-building workflow. A</w:t>
      </w:r>
      <w:r>
        <w:t xml:space="preserve"> </w:t>
      </w:r>
      <w:r>
        <w:t xml:space="preserve">separate manuscript is planned to describe construction of the human-serum</w:t>
      </w:r>
      <w:r>
        <w:t xml:space="preserve"> </w:t>
      </w:r>
      <w:r>
        <w:t xml:space="preserve">antigenic cartographies in detail. Using the same HAI dataset to construct the</w:t>
      </w:r>
      <w:r>
        <w:t xml:space="preserve"> </w:t>
      </w:r>
      <w:r>
        <w:t xml:space="preserve">maps and compare cartographic distances is a limitation of the current</w:t>
      </w:r>
      <w:r>
        <w:t xml:space="preserve"> </w:t>
      </w:r>
      <w:r>
        <w:t xml:space="preserve">analysis, but no comparable alternative is currently available for this strain</w:t>
      </w:r>
      <w:r>
        <w:t xml:space="preserve"> </w:t>
      </w:r>
      <w:r>
        <w:t xml:space="preserve">panel.</w:t>
      </w:r>
    </w:p>
    <w:p>
      <w:pPr>
        <w:pStyle w:val="BodyText"/>
      </w:pPr>
      <w:r>
        <w:t xml:space="preserve">The diagnostics below report map dimensionality, strain and serum counts,</w:t>
      </w:r>
      <w:r>
        <w:t xml:space="preserve"> </w:t>
      </w:r>
      <w:r>
        <w:t xml:space="preserve">stored stress, stored projection count, and titer-table missingness where these</w:t>
      </w:r>
      <w:r>
        <w:t xml:space="preserve"> </w:t>
      </w:r>
      <w:r>
        <w:t xml:space="preserve">metadata are extractable from the</w:t>
      </w:r>
      <w:r>
        <w:t xml:space="preserve"> </w:t>
      </w:r>
      <w:r>
        <w:rPr>
          <w:rStyle w:val="VerbatimChar"/>
        </w:rPr>
        <w:t xml:space="preserve">.ace</w:t>
      </w:r>
      <w:r>
        <w:t xml:space="preserve"> </w:t>
      </w:r>
      <w:r>
        <w:t xml:space="preserve">files. Optimization history beyond the</w:t>
      </w:r>
      <w:r>
        <w:t xml:space="preserve"> </w:t>
      </w:r>
      <w:r>
        <w:t xml:space="preserve">stored stress/projection metadata was not available in the stored</w:t>
      </w:r>
      <w:r>
        <w:t xml:space="preserve"> </w:t>
      </w:r>
      <w:r>
        <w:rPr>
          <w:rStyle w:val="VerbatimChar"/>
        </w:rPr>
        <w:t xml:space="preserve">.ace</w:t>
      </w:r>
      <w:r>
        <w:t xml:space="preserve"> </w:t>
      </w:r>
      <w:r>
        <w:t xml:space="preserve">inputs.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artography-diagnostic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12: Diagnostics extracted from the stored antigenic-cartography .ace inputs. Optimization history beyond stored stress and projection count was not available in these files.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517"/>
              <w:gridCol w:w="663"/>
              <w:gridCol w:w="465"/>
              <w:gridCol w:w="408"/>
              <w:gridCol w:w="928"/>
              <w:gridCol w:w="725"/>
              <w:gridCol w:w="574"/>
              <w:gridCol w:w="818"/>
              <w:gridCol w:w="813"/>
              <w:gridCol w:w="1307"/>
              <w:gridCol w:w="626"/>
              <w:gridCol w:w="1515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Dimensions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Strains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Sera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Stored projections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Stored stress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Titer cells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Measured titers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Missing titers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Lower-bound titers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Titer range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Optimization metadata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1,524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30,449.36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27,432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20,858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6,574 (24.0%)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5,895 (28.3% of measured)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10-5,120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 available in stored .ace input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1,909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35,301.42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40,089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27,071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13,018 (32.5%)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4,180 (15.4% of measured)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10-20,480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 available in stored .ace input</w:t>
                  </w:r>
                </w:p>
              </w:tc>
            </w:tr>
          </w:tbl>
          <w:bookmarkEnd w:id="37"/>
        </w:tc>
      </w:tr>
    </w:tbl>
    <w:bookmarkEnd w:id="38"/>
    <w:bookmarkStart w:id="47" w:name="distance-matrix-comparison-details"/>
    <w:p>
      <w:pPr>
        <w:pStyle w:val="Heading1"/>
      </w:pPr>
      <w:r>
        <w:t xml:space="preserve">8. Distance-Matrix Comparison Details</w:t>
      </w:r>
    </w:p>
    <w:p>
      <w:pPr>
        <w:pStyle w:val="FirstParagraph"/>
      </w:pPr>
      <w:r>
        <w:t xml:space="preserve">The primary manuscript table reports Mantel correlations between ML-tree</w:t>
      </w:r>
      <w:r>
        <w:t xml:space="preserve"> </w:t>
      </w:r>
      <w:r>
        <w:t xml:space="preserve">cophenetic distance and each candidate distance metric. These tests use only</w:t>
      </w:r>
      <w:r>
        <w:t xml:space="preserve"> </w:t>
      </w:r>
      <w:r>
        <w:t xml:space="preserve">unique off-diagonal strain pairs. Duplicate symmetric distances and diagonal</w:t>
      </w:r>
      <w:r>
        <w:t xml:space="preserve"> </w:t>
      </w:r>
      <w:r>
        <w:t xml:space="preserve">self-comparisons are excluded before estimating the observed correlation,</w:t>
      </w:r>
      <w:r>
        <w:t xml:space="preserve"> </w:t>
      </w:r>
      <w:r>
        <w:t xml:space="preserve">Bayesian bootstrap interval, and matrix-permutation p-value.</w:t>
      </w:r>
    </w:p>
    <w:p>
      <w:pPr>
        <w:pStyle w:val="BodyText"/>
      </w:pPr>
      <w:r>
        <w:t xml:space="preserve">For the overall rows, permutation is stratified by subtype: H1N1 and H3N2 labels</w:t>
      </w:r>
      <w:r>
        <w:t xml:space="preserve"> </w:t>
      </w:r>
      <w:r>
        <w:t xml:space="preserve">are permuted within subtype, then the unique-pair vectors are concatenated for</w:t>
      </w:r>
      <w:r>
        <w:t xml:space="preserve"> </w:t>
      </w:r>
      <w:r>
        <w:t xml:space="preserve">the overall Mantel statistic. Bayesian bootstrap intervals are resampled over</w:t>
      </w:r>
      <w:r>
        <w:t xml:space="preserve"> </w:t>
      </w:r>
      <w:r>
        <w:t xml:space="preserve">strain units and are separate from the permutation p-values. We do not report</w:t>
      </w:r>
      <w:r>
        <w:t xml:space="preserve"> </w:t>
      </w:r>
      <w:r>
        <w:t xml:space="preserve">Bayesian-bootstrap tail probabilities as p-values because the permutation</w:t>
      </w:r>
      <w:r>
        <w:t xml:space="preserve"> </w:t>
      </w:r>
      <w:r>
        <w:t xml:space="preserve">p-values are the pre-specified apparent-sample test for matrix correspondence.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mantel-setting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13: Mantel correlation computation settings. Seeds are row-specific so that each comparison and reporting scope is reproducible.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604"/>
              <w:gridCol w:w="697"/>
              <w:gridCol w:w="1073"/>
              <w:gridCol w:w="1258"/>
              <w:gridCol w:w="2196"/>
              <w:gridCol w:w="1343"/>
              <w:gridCol w:w="1189"/>
            </w:tblGrid>
            <w:tr>
              <w:trPr>
                <w:trHeight w:val="615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Comparison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Scope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Permutations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Bootstrap draws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CI method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Permutation seed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Bootstrap seed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Temporal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Bayesian bootstrap over strains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1,371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11,371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Temporal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Bayesian bootstrap over strains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2,371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12,371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Temporal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Bayesian bootstrap over strains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3,371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13,371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Bayesian bootstrap over strains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1,372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11,372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Bayesian bootstrap over strains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2,372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12,372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Bayesian bootstrap over strains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3,372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13,372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Bayesian bootstrap over strains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1,373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11,373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Bayesian bootstrap over strains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2,373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12,373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Bayesian bootstrap over strains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3,373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13,373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Cartographic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Bayesian bootstrap over strains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1,374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11,374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Cartographic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Bayesian bootstrap over strains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2,374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12,374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Cartographic distance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Bayesian bootstrap over strains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3,374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13,374</w:t>
                  </w:r>
                </w:p>
              </w:tc>
            </w:tr>
          </w:tbl>
          <w:bookmarkEnd w:id="39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mantel-main-cop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14: Main Mantel correlation table reproduced for reference.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831"/>
              <w:gridCol w:w="795"/>
              <w:gridCol w:w="1831"/>
              <w:gridCol w:w="865"/>
              <w:gridCol w:w="1103"/>
              <w:gridCol w:w="1709"/>
              <w:gridCol w:w="1226"/>
            </w:tblGrid>
            <w:tr>
              <w:trPr>
                <w:trHeight w:val="615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Comparison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Scope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Pairwise comparisons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Mantel 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95% CI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Permutation p-value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Permutations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Temporal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(0.41, 0.68)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(0.02, 0.51)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(0.98, 0.99)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(0.92, 0.98)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(0.97, 0.99)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(0.82, 0.96)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(0.91, 0.95)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(0.91, 0.96)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(0.88, 0.96)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Cartographic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(0.29, 0.63)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(0.05, 0.55)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(0.74, 0.90)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</w:tbl>
          <w:bookmarkEnd w:id="40"/>
        </w:tc>
      </w:tr>
    </w:tbl>
    <w:bookmarkStart w:id="44" w:name="subtype-contrast-analysis"/>
    <w:p>
      <w:pPr>
        <w:pStyle w:val="Heading2"/>
      </w:pPr>
      <w:r>
        <w:t xml:space="preserve">8.1 Subtype Contrast Analysis</w:t>
      </w:r>
    </w:p>
    <w:p>
      <w:pPr>
        <w:pStyle w:val="FirstParagraph"/>
      </w:pPr>
      <w:r>
        <w:t xml:space="preserve">For each distance metric, the primary subtype contrast is defined as the H3N2</w:t>
      </w:r>
      <w:r>
        <w:t xml:space="preserve"> </w:t>
      </w:r>
      <w:r>
        <w:t xml:space="preserve">Mantel correlation minus the H1N1 Mantel correlation. The Mantel correlations</w:t>
      </w:r>
      <w:r>
        <w:t xml:space="preserve"> </w:t>
      </w:r>
      <w:r>
        <w:t xml:space="preserve">use the same unique off-diagonal strain-pair representation as the main</w:t>
      </w:r>
      <w:r>
        <w:t xml:space="preserve"> </w:t>
      </w:r>
      <w:r>
        <w:t xml:space="preserve">distance-matrix table. Uncertainty is estimated with a Bayesian bootstrap over</w:t>
      </w:r>
      <w:r>
        <w:t xml:space="preserve"> </w:t>
      </w:r>
      <w:r>
        <w:t xml:space="preserve">strain units</w:t>
      </w:r>
      <w:r>
        <w:t xml:space="preserve"> </w:t>
      </w:r>
      <w:r>
        <w:t xml:space="preserve">[3]</w:t>
      </w:r>
      <w:r>
        <w:t xml:space="preserve">. Within each bootstrap draw, strain weights are</w:t>
      </w:r>
      <w:r>
        <w:t xml:space="preserve"> </w:t>
      </w:r>
      <w:r>
        <w:t xml:space="preserve">normalized separately within H1N1 and H3N2, pair weights are calculated as the</w:t>
      </w:r>
      <w:r>
        <w:t xml:space="preserve"> </w:t>
      </w:r>
      <w:r>
        <w:t xml:space="preserve">product of the two endpoint strain weights, and the weighted H3N2-minus-H1N1</w:t>
      </w:r>
      <w:r>
        <w:t xml:space="preserve"> </w:t>
      </w:r>
      <w:r>
        <w:t xml:space="preserve">contrast is recomputed.</w:t>
      </w:r>
    </w:p>
    <w:p>
      <w:pPr>
        <w:pStyle w:val="BodyText"/>
      </w:pPr>
      <w:r>
        <w:t xml:space="preserve">The primary contrast answers a strain-sampling question: how uncertain is the</w:t>
      </w:r>
      <w:r>
        <w:t xml:space="preserve"> </w:t>
      </w:r>
      <w:r>
        <w:t xml:space="preserve">observed subtype difference if the strains are treated as sampled units from a</w:t>
      </w:r>
      <w:r>
        <w:t xml:space="preserve"> </w:t>
      </w:r>
      <w:r>
        <w:t xml:space="preserve">broader strain universe? We also report two sensitivity analyses that answer</w:t>
      </w:r>
      <w:r>
        <w:t xml:space="preserve"> </w:t>
      </w:r>
      <w:r>
        <w:t xml:space="preserve">different questions. The Fisher-z approximation</w:t>
      </w:r>
      <w:r>
        <w:t xml:space="preserve"> </w:t>
      </w:r>
      <w:r>
        <w:t xml:space="preserve">[4]</w:t>
      </w:r>
      <w:r>
        <w:t xml:space="preserve"> </w:t>
      </w:r>
      <w:r>
        <w:t xml:space="preserve">treats the</w:t>
      </w:r>
      <w:r>
        <w:t xml:space="preserve"> </w:t>
      </w:r>
      <w:r>
        <w:t xml:space="preserve">unique strain pairs as independent observations, so it is expected to be</w:t>
      </w:r>
      <w:r>
        <w:t xml:space="preserve"> </w:t>
      </w:r>
      <w:r>
        <w:t xml:space="preserve">overconfident because each strain contributes to many pairs. The independent</w:t>
      </w:r>
      <w:r>
        <w:t xml:space="preserve"> </w:t>
      </w:r>
      <w:r>
        <w:t xml:space="preserve">Mantel permutation contrast permutes matrix labels within each subtype and</w:t>
      </w:r>
      <w:r>
        <w:t xml:space="preserve"> </w:t>
      </w:r>
      <w:r>
        <w:t xml:space="preserve">compares the observed contrast against a joint no-association null; it is useful</w:t>
      </w:r>
      <w:r>
        <w:t xml:space="preserve"> </w:t>
      </w:r>
      <w:r>
        <w:t xml:space="preserve">as a matrix-aware sensitivity check, but it is not a direct test of equality</w:t>
      </w:r>
      <w:r>
        <w:t xml:space="preserve"> </w:t>
      </w:r>
      <w:r>
        <w:t xml:space="preserve">between subtype-specific Mantel correlations. Differences among these</w:t>
      </w:r>
      <w:r>
        <w:t xml:space="preserve"> </w:t>
      </w:r>
      <w:r>
        <w:t xml:space="preserve">summaries can therefore be driven by pairwise non-independence, different</w:t>
      </w:r>
      <w:r>
        <w:t xml:space="preserve"> </w:t>
      </w:r>
      <w:r>
        <w:t xml:space="preserve">effective sample sizes across subtypes, and the fact that the permutation</w:t>
      </w:r>
      <w:r>
        <w:t xml:space="preserve"> </w:t>
      </w:r>
      <w:r>
        <w:t xml:space="preserve">sensitivity asks a different null-hypothesis question than the bootstrap</w:t>
      </w:r>
      <w:r>
        <w:t xml:space="preserve"> </w:t>
      </w:r>
      <w:r>
        <w:t xml:space="preserve">interval.</w:t>
      </w:r>
    </w:p>
    <w:p>
      <w:pPr>
        <w:pStyle w:val="BodyText"/>
      </w:pPr>
      <w:r>
        <w:t xml:space="preserve">In practice, the Fisher-z sensitivity should usually look more decisive than</w:t>
      </w:r>
      <w:r>
        <w:t xml:space="preserve"> </w:t>
      </w:r>
      <w:r>
        <w:t xml:space="preserve">the primary bootstrap interval because it uses the 153 H1N1 and 210 H3N2</w:t>
      </w:r>
      <w:r>
        <w:t xml:space="preserve"> </w:t>
      </w:r>
      <w:r>
        <w:t xml:space="preserve">pairwise distances as if they were independent observations. The permutation</w:t>
      </w:r>
      <w:r>
        <w:t xml:space="preserve"> </w:t>
      </w:r>
      <w:r>
        <w:t xml:space="preserve">sensitivity may also differ from the bootstrap interval: for example, it can</w:t>
      </w:r>
      <w:r>
        <w:t xml:space="preserve"> </w:t>
      </w:r>
      <w:r>
        <w:t xml:space="preserve">flag large temporal or cartographic contrasts against a no-association null</w:t>
      </w:r>
      <w:r>
        <w:t xml:space="preserve"> </w:t>
      </w:r>
      <w:r>
        <w:t xml:space="preserve">while not flagging smaller contrasts between two already-high subtype-specific</w:t>
      </w:r>
      <w:r>
        <w:t xml:space="preserve"> </w:t>
      </w:r>
      <w:r>
        <w:t xml:space="preserve">matrix associations.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tbl-subtype-contrast-setting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15: Subtype contrast bootstrap settings. Seeds are row-specific so that each contrast is reproducible.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215"/>
              <w:gridCol w:w="1737"/>
              <w:gridCol w:w="3766"/>
              <w:gridCol w:w="1642"/>
            </w:tblGrid>
            <w:tr>
              <w:trPr>
                <w:trHeight w:val="615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Comparison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Bootstrap draws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CI method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Bootstrap seed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Temporal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Bayesian bootstrap contrast over strains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20,371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Bayesian bootstrap contrast over strains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20,372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Bayesian bootstrap contrast over strains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20,373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Cartographic distance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Bayesian bootstrap contrast over strains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20,374</w:t>
                  </w:r>
                </w:p>
              </w:tc>
            </w:tr>
          </w:tbl>
          <w:bookmarkEnd w:id="4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subtype-contrast-main-cop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16: Main subtype contrast table reproduced for reference.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248"/>
              <w:gridCol w:w="1541"/>
              <w:gridCol w:w="1541"/>
              <w:gridCol w:w="895"/>
              <w:gridCol w:w="895"/>
              <w:gridCol w:w="1439"/>
              <w:gridCol w:w="823"/>
              <w:gridCol w:w="979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Comparison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 pairwise comparisons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 pairwise comparisons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 Mantel 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 Mantel 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Difference (H3N2 - H1N1)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95% CI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Bootstrap draws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Temporal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(0.53, 0.95)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(-0.15, -0.02)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(-0.05, 0.04)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Cartographic distance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(0.19, 0.81)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</w:tr>
          </w:tbl>
          <w:bookmarkEnd w:id="42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subtype-contrast-sensitivit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17: Sensitivity summaries for H3N2-minus-H1N1 subtype contrasts. These alternatives are included to show how the contrast behaves under simpler Fisher-z and matrix-permutation reference calculations; neither replaces the primary strain-bootstrap contrast interval.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492"/>
              <w:gridCol w:w="2587"/>
              <w:gridCol w:w="1721"/>
              <w:gridCol w:w="1284"/>
              <w:gridCol w:w="1277"/>
              <w:gridCol w:w="998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Comparison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Sensitivity method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Difference (H3N2 - H1N1)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Sensitivity statistic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Sensitivity p-value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Permutations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Temporal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Fisher z approximation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21.24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 0.001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Independent Mantel permutation contrast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Fisher z approximation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-8.09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 0.001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Independent Mantel permutation contrast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Fisher z approximation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Independent Mantel permutation contrast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Cartographic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Fisher z approximation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 0.001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Independent Mantel permutation contrast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</w:tbl>
          <w:bookmarkEnd w:id="43"/>
        </w:tc>
      </w:tr>
    </w:tbl>
    <w:bookmarkEnd w:id="44"/>
    <w:bookmarkStart w:id="46" w:name="descriptive-pearson-correlations"/>
    <w:p>
      <w:pPr>
        <w:pStyle w:val="Heading2"/>
      </w:pPr>
      <w:r>
        <w:t xml:space="preserve">8.2 Descriptive Pearson Correlations</w:t>
      </w:r>
    </w:p>
    <w:p>
      <w:pPr>
        <w:pStyle w:val="FirstParagraph"/>
      </w:pPr>
      <w:r>
        <w:t xml:space="preserve">The Pearson correlations in</w:t>
      </w:r>
      <w:r>
        <w:t xml:space="preserve"> </w:t>
      </w:r>
      <w:hyperlink w:anchor="tbl-pearson-correlations">
        <w:r>
          <w:rPr>
            <w:rStyle w:val="Hyperlink"/>
          </w:rPr>
          <w:t xml:space="preserve">Table 18</w:t>
        </w:r>
      </w:hyperlink>
      <w:r>
        <w:t xml:space="preserve"> </w:t>
      </w:r>
      <w:r>
        <w:t xml:space="preserve">are descriptive summaries</w:t>
      </w:r>
      <w:r>
        <w:t xml:space="preserve"> </w:t>
      </w:r>
      <w:r>
        <w:t xml:space="preserve">of the same unique off-diagonal pair representation used for the Mantel</w:t>
      </w:r>
      <w:r>
        <w:t xml:space="preserve"> </w:t>
      </w:r>
      <w:r>
        <w:t xml:space="preserve">analysis. They are included to help interpret the approximate linear agreement</w:t>
      </w:r>
      <w:r>
        <w:t xml:space="preserve"> </w:t>
      </w:r>
      <w:r>
        <w:t xml:space="preserve">between distance scales, but they are not used as independent-observation</w:t>
      </w:r>
      <w:r>
        <w:t xml:space="preserve"> </w:t>
      </w:r>
      <w:r>
        <w:t xml:space="preserve">inference.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pearson-correlation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18: Descriptive Pearson correlations between each distance metric and ML-tree cophenetic distance, overall and by subtype. Intervals are strain-level bootstrap intervals and should be interpreted descriptively.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621"/>
              <w:gridCol w:w="1138"/>
              <w:gridCol w:w="2621"/>
              <w:gridCol w:w="1402"/>
              <w:gridCol w:w="1578"/>
            </w:tblGrid>
            <w:tr>
              <w:trPr>
                <w:trHeight w:val="615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Comparison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Scope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Pairwise comparisons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Pearson 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95% CI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Temporal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(0.40, 0.67)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(0.02, 0.50)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(0.97, 0.99)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(0.92, 0.98)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(0.97, 0.99)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(0.82, 0.96)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(0.91, 0.95)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(0.91, 0.96)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(0.89, 0.95)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Cartographic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(0.30, 0.61)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(0.01, 0.61)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(0.74, 0.90)</w:t>
                  </w:r>
                </w:p>
              </w:tc>
            </w:tr>
          </w:tbl>
          <w:bookmarkEnd w:id="45"/>
        </w:tc>
      </w:tr>
    </w:tbl>
    <w:bookmarkEnd w:id="46"/>
    <w:bookmarkEnd w:id="47"/>
    <w:bookmarkStart w:id="54" w:name="leave-one-strain-out-influence-analysis"/>
    <w:p>
      <w:pPr>
        <w:pStyle w:val="Heading1"/>
      </w:pPr>
      <w:r>
        <w:t xml:space="preserve">9. Leave-One-Strain-Out Influence Analysis</w:t>
      </w:r>
    </w:p>
    <w:p>
      <w:pPr>
        <w:pStyle w:val="FirstParagraph"/>
      </w:pPr>
      <w:r>
        <w:t xml:space="preserve">We evaluated strain-level influence on the matrix-association results by</w:t>
      </w:r>
      <w:r>
        <w:t xml:space="preserve"> </w:t>
      </w:r>
      <w:r>
        <w:t xml:space="preserve">removing one strain at a time within subtype from the existing ML-tree</w:t>
      </w:r>
      <w:r>
        <w:t xml:space="preserve"> </w:t>
      </w:r>
      <w:r>
        <w:t xml:space="preserve">cophenetic and candidate distance matrices, then recomputing the observed</w:t>
      </w:r>
      <w:r>
        <w:t xml:space="preserve"> </w:t>
      </w:r>
      <w:r>
        <w:t xml:space="preserve">association estimates on the remaining unique off-diagonal strain pairs. This</w:t>
      </w:r>
      <w:r>
        <w:t xml:space="preserve"> </w:t>
      </w:r>
      <w:r>
        <w:t xml:space="preserve">analysis does not refit the multiple sequence alignments, ML trees, or</w:t>
      </w:r>
      <w:r>
        <w:t xml:space="preserve"> </w:t>
      </w:r>
      <w:r>
        <w:t xml:space="preserve">cartography maps; it asks whether the reported matrix associations are driven</w:t>
      </w:r>
      <w:r>
        <w:t xml:space="preserve"> </w:t>
      </w:r>
      <w:r>
        <w:t xml:space="preserve">by individual strains in the current fitted analysis objects.</w:t>
      </w:r>
    </w:p>
    <w:p>
      <w:pPr>
        <w:pStyle w:val="BodyText"/>
      </w:pPr>
      <w:r>
        <w:t xml:space="preserve">Rows are flagged when the absolute leave-one-out change is at least 0.10</w:t>
      </w:r>
      <w:r>
        <w:t xml:space="preserve"> </w:t>
      </w:r>
      <w:r>
        <w:t xml:space="preserve">correlation units. The derived summary retains both the Mantel-r point estimate</w:t>
      </w:r>
      <w:r>
        <w:t xml:space="preserve"> </w:t>
      </w:r>
      <w:r>
        <w:t xml:space="preserve">and the descriptive Pearson point estimate. For the within-subtype</w:t>
      </w:r>
      <w:r>
        <w:t xml:space="preserve"> </w:t>
      </w:r>
      <w:r>
        <w:t xml:space="preserve">leave-one-out comparisons shown here, both point estimates use the same</w:t>
      </w:r>
      <w:r>
        <w:t xml:space="preserve"> </w:t>
      </w:r>
      <w:r>
        <w:t xml:space="preserve">unique-pair vectors, so the displayed table and figure focus on Mantel 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influence-setting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19: Leave-one-strain-out influence-analysis settings. The summary retains both Mantel-r and descriptive Pearson point-estimate rows; the table and figure below focus on Mantel r.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5448"/>
              <w:gridCol w:w="3912"/>
            </w:tblGrid>
            <w:tr>
              <w:trPr>
                <w:trHeight w:val="614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Estimate method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Flag threshold</w:t>
                  </w:r>
                </w:p>
              </w:tc>
            </w:tr>
            <w:tr>
              <w:trPr>
                <w:trHeight w:val="571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Mantel r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Descriptive Pearson r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</w:t>
                  </w:r>
                </w:p>
              </w:tc>
            </w:tr>
          </w:tbl>
          <w:bookmarkEnd w:id="48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influence"/>
          <w:p>
            <w:pPr>
              <w:pStyle w:val="Compact"/>
              <w:jc w:val="center"/>
            </w:pPr>
            <w:r>
              <w:drawing>
                <wp:inline>
                  <wp:extent cx="5334000" cy="474133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D:/post-phd-research/flu-dist-v-phylo-trees/results/Figures/leave-one-strain-out-influence-plot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41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Largest leave-one-strain-out changes in Mantel correlation after removing</w:t>
            </w:r>
            <w:r>
              <w:t xml:space="preserve"> </w:t>
            </w:r>
            <w:r>
              <w:t xml:space="preserve">strains within subtype. Positive values indicate that the estimate</w:t>
            </w:r>
            <w:r>
              <w:t xml:space="preserve"> </w:t>
            </w:r>
            <w:r>
              <w:t xml:space="preserve">increased after removing the strain; negative values indicate that it</w:t>
            </w:r>
            <w:r>
              <w:t xml:space="preserve"> </w:t>
            </w:r>
            <w:r>
              <w:t xml:space="preserve">decreased. The complete row-level listing is shown in the influence table.</w:t>
            </w:r>
          </w:p>
          <w:bookmarkEnd w:id="52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influenc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20: Leave-one-strain-out influence on Mantel correlations between each candidate distance metric and ML-tree cophenetic distance. Changes are leave-one-out estimates minus full-panel estimates.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968"/>
              <w:gridCol w:w="462"/>
              <w:gridCol w:w="740"/>
              <w:gridCol w:w="1116"/>
              <w:gridCol w:w="1520"/>
              <w:gridCol w:w="629"/>
              <w:gridCol w:w="1033"/>
              <w:gridCol w:w="778"/>
              <w:gridCol w:w="778"/>
              <w:gridCol w:w="685"/>
              <w:gridCol w:w="652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Comparison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 strain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Full pairwise comparisons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Leave-one-out pairwise comparisons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Full estimate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Leave-one-out estimate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Estimate change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Absolute change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Flag threshold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Influence flag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Temporal distance</w:t>
                  </w:r>
                </w:p>
              </w:tc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Bei/95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Bra/78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Bris/07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Bris/18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CA/09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CA/78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Chi/83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Den/57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FM/47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MI/15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NC/99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NJ/76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SC/18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SI/06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Sing/86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TX/91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USSR/77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Wei/43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Fuj/02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HK/14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HK/68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KS/17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MS/85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NY/04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Nan/95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PC/73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Pan/99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Per/09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SA/19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Shan/93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Sich/87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Sing/16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Switz/13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Syd/97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TX/12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TX/77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Uru/07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Vic/11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WI/05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Bei/95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Bra/78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Bris/07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Bris/18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CA/09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CA/78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Chi/83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Den/57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FM/47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MI/15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NC/99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NJ/76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SC/18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SI/06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Sing/86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TX/91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USSR/77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Wei/43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Fuj/02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HK/14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HK/68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KS/17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MS/85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NY/04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Nan/95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PC/73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Pan/99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Per/09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SA/19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Shan/93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Sich/87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Sing/16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Switz/13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Syd/97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TX/12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TX/77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Uru/07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Vic/11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WI/05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Bei/95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Bra/78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Bris/07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Bris/18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CA/09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CA/78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Chi/83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Den/57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FM/47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MI/15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NC/99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NJ/76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SC/18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SI/06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Sing/86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TX/91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USSR/77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Wei/43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Fuj/02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HK/14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HK/68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KS/17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MS/85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NY/04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Nan/95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PC/73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Pan/99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Per/09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SA/19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Shan/93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Sich/87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Sing/16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Switz/13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Syd/97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TX/12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TX/77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Uru/07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Vic/11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WI/05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Cartographic distance</w:t>
                  </w:r>
                </w:p>
              </w:tc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Bei/95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Bra/78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Bris/07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Bris/18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CA/09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CA/78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Chi/83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Den/57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FM/47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MI/15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NC/99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NJ/76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SC/18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SI/06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Sing/86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TX/91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USSR/77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Wei/43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Fuj/02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HK/14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HK/68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KS/17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MS/85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NY/04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Nan/95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PC/73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Pan/99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Per/09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SA/19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Shan/93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Sich/87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Sing/16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Switz/13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Syd/97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+0.01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TX/12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TX/77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Uru/07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Vic/11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WI/05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</w:tbl>
          <w:bookmarkEnd w:id="53"/>
        </w:tc>
      </w:tr>
    </w:tbl>
    <w:bookmarkEnd w:id="54"/>
    <w:bookmarkStart w:id="56" w:name="supplemental-tree-topology-checks"/>
    <w:p>
      <w:pPr>
        <w:pStyle w:val="Heading1"/>
      </w:pPr>
      <w:r>
        <w:t xml:space="preserve">10. Supplemental Tree Topology Checks</w:t>
      </w:r>
    </w:p>
    <w:p>
      <w:pPr>
        <w:pStyle w:val="FirstParagraph"/>
      </w:pPr>
      <w:r>
        <w:t xml:space="preserve">The main manuscript reports delta log likelihood as the primary tree-comparison</w:t>
      </w:r>
      <w:r>
        <w:t xml:space="preserve"> </w:t>
      </w:r>
      <w:r>
        <w:t xml:space="preserve">metric, with SH p-values</w:t>
      </w:r>
      <w:r>
        <w:t xml:space="preserve"> </w:t>
      </w:r>
      <w:r>
        <w:t xml:space="preserve">[5]</w:t>
      </w:r>
      <w:r>
        <w:t xml:space="preserve"> </w:t>
      </w:r>
      <w:r>
        <w:t xml:space="preserve">and RF distance</w:t>
      </w:r>
      <w:r>
        <w:t xml:space="preserve"> </w:t>
      </w:r>
      <w:r>
        <w:t xml:space="preserve">[6]</w:t>
      </w:r>
      <w:r>
        <w:t xml:space="preserve"> </w:t>
      </w:r>
      <w:r>
        <w:t xml:space="preserve">as secondary checks. Additional</w:t>
      </w:r>
      <w:r>
        <w:t xml:space="preserve"> </w:t>
      </w:r>
      <w:r>
        <w:t xml:space="preserve">topology-distance summaries are reported here as sensitivity diagnostics rather</w:t>
      </w:r>
      <w:r>
        <w:t xml:space="preserve"> </w:t>
      </w:r>
      <w:r>
        <w:t xml:space="preserve">than primary evidence. These metrics are useful for checking whether the</w:t>
      </w:r>
      <w:r>
        <w:t xml:space="preserve"> </w:t>
      </w:r>
      <w:r>
        <w:t xml:space="preserve">likelihood ranking is accompanied by similar topology-distance patterns, but</w:t>
      </w:r>
      <w:r>
        <w:t xml:space="preserve"> </w:t>
      </w:r>
      <w:r>
        <w:t xml:space="preserve">they do not replace the likelihood comparison.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tree-topology-distance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21: Supplemental topology-distance metrics between each distance-based neighbor-joining tree and the optimized ML tree.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813"/>
              <w:gridCol w:w="1704"/>
              <w:gridCol w:w="1164"/>
              <w:gridCol w:w="1058"/>
              <w:gridCol w:w="1720"/>
              <w:gridCol w:w="1736"/>
              <w:gridCol w:w="1165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Distance tree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SPR distance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RF distance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Weighted RF distance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Branch-score distance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Path distance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Temporal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24.00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2.68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52.58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8.94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13.86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Cartographic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47.33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Temporal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16.37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8.25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17.49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Cartographic distance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6.00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30.00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64.45</w:t>
                  </w:r>
                </w:p>
              </w:tc>
            </w:tr>
          </w:tbl>
          <w:bookmarkEnd w:id="55"/>
        </w:tc>
      </w:tr>
    </w:tbl>
    <w:bookmarkEnd w:id="56"/>
    <w:bookmarkStart w:id="59" w:name="X9425d61a2535ee0cd3f8fc4233b412688b52bf0"/>
    <w:p>
      <w:pPr>
        <w:pStyle w:val="Heading1"/>
      </w:pPr>
      <w:r>
        <w:t xml:space="preserve">11. ML Tree Branch Support and Bootstrap Stability</w:t>
      </w:r>
    </w:p>
    <w:p>
      <w:pPr>
        <w:pStyle w:val="FirstParagraph"/>
      </w:pPr>
      <w:r>
        <w:t xml:space="preserve">To evaluate robustness of the optimized ML tree topologies themselves, the</w:t>
      </w:r>
      <w:r>
        <w:t xml:space="preserve"> </w:t>
      </w:r>
      <w:r>
        <w:t xml:space="preserve">pipeline performs nonparametric site-bootstrap resampling of the fitted ML</w:t>
      </w:r>
      <w:r>
        <w:t xml:space="preserve"> </w:t>
      </w:r>
      <w:r>
        <w:t xml:space="preserve">object for each subtype. Test mode uses reduced bootstrap settings for pipeline</w:t>
      </w:r>
      <w:r>
        <w:t xml:space="preserve"> </w:t>
      </w:r>
      <w:r>
        <w:t xml:space="preserve">checks, while full mode should be regenerated before interpreting these values</w:t>
      </w:r>
      <w:r>
        <w:t xml:space="preserve"> </w:t>
      </w:r>
      <w:r>
        <w:t xml:space="preserve">as publication evidence. The summary below reports branch-support and companion</w:t>
      </w:r>
      <w:r>
        <w:t xml:space="preserve"> </w:t>
      </w:r>
      <w:r>
        <w:t xml:space="preserve">topology-stability diagnostics. Branch support is the percentage of bootstrap</w:t>
      </w:r>
      <w:r>
        <w:t xml:space="preserve"> </w:t>
      </w:r>
      <w:r>
        <w:t xml:space="preserve">trees that recover each internal split in the optimized ML tree. The topology</w:t>
      </w:r>
      <w:r>
        <w:t xml:space="preserve"> </w:t>
      </w:r>
      <w:r>
        <w:t xml:space="preserve">stability summaries compare each bootstrap replicate tree with the optimized ML</w:t>
      </w:r>
      <w:r>
        <w:t xml:space="preserve"> </w:t>
      </w:r>
      <w:r>
        <w:t xml:space="preserve">tree using RF-style and related tree-distance metrics.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ml-tree-support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22: ML-tree branch support and bootstrap topology-stability summary. Test-mode values use reduced bootstrap replicates and should not be interpreted as final publication-scale robustness evidence.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29"/>
              <w:gridCol w:w="443"/>
              <w:gridCol w:w="397"/>
              <w:gridCol w:w="544"/>
              <w:gridCol w:w="576"/>
              <w:gridCol w:w="608"/>
              <w:gridCol w:w="395"/>
              <w:gridCol w:w="395"/>
              <w:gridCol w:w="395"/>
              <w:gridCol w:w="562"/>
              <w:gridCol w:w="558"/>
              <w:gridCol w:w="546"/>
              <w:gridCol w:w="659"/>
              <w:gridCol w:w="627"/>
              <w:gridCol w:w="703"/>
              <w:gridCol w:w="622"/>
              <w:gridCol w:w="631"/>
              <w:gridCol w:w="470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Bootstrap replicates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Internal branches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Mean branch support (%)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Median branch support (%)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Minimum branch support (%)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Branches &gt;=70%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Branches &gt;=90%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Branches &gt;=95%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Usable topology replicates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Topology distance failures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Identical topology fraction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Median normalized RF distance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Mean normalized RF distance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Maximum normalized RF distance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Median weighted RF distance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Median branch-score distance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Median path distance</w:t>
                  </w:r>
                </w:p>
              </w:tc>
            </w:tr>
            <w:tr>
              <w:trPr>
                <w:trHeight w:val="572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90.6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8.94</w:t>
                  </w:r>
                </w:p>
              </w:tc>
            </w:tr>
            <w:tr>
              <w:trPr>
                <w:trHeight w:val="572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94.2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60.0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8.25</w:t>
                  </w:r>
                </w:p>
              </w:tc>
            </w:tr>
          </w:tbl>
          <w:bookmarkEnd w:id="57"/>
        </w:tc>
      </w:tr>
    </w:tbl>
    <w:p>
      <w:pPr>
        <w:pStyle w:val="BodyText"/>
      </w:pPr>
      <w:r>
        <w:t xml:space="preserve">The node-level support table is included for auditability. Internal node</w:t>
      </w:r>
      <w:r>
        <w:t xml:space="preserve"> </w:t>
      </w:r>
      <w:r>
        <w:t xml:space="preserve">numbers refer to the unrooted ML tree object rather than named biological</w:t>
      </w:r>
      <w:r>
        <w:t xml:space="preserve"> </w:t>
      </w:r>
      <w:r>
        <w:t xml:space="preserve">clades; final clade-level interpretation should use the plotted tree and</w:t>
      </w:r>
      <w:r>
        <w:t xml:space="preserve"> </w:t>
      </w:r>
      <w:r>
        <w:t xml:space="preserve">full-mode support results together.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ml-branch-support-detail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23: Internal-node bootstrap support values for the optimized ML trees. Node identifiers refer to the underlying unrooted tree object.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180"/>
              <w:gridCol w:w="1642"/>
              <w:gridCol w:w="2282"/>
              <w:gridCol w:w="2234"/>
              <w:gridCol w:w="2021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Internal node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Bootstrap replicates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Branch support (%)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Support category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&lt;70%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90-94%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&lt;70%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90-94%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70-89%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90-94%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70-89%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&lt;70%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vMerge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&gt;=95%</w:t>
                  </w:r>
                </w:p>
              </w:tc>
            </w:tr>
          </w:tbl>
          <w:bookmarkEnd w:id="58"/>
        </w:tc>
      </w:tr>
    </w:tbl>
    <w:bookmarkEnd w:id="59"/>
    <w:bookmarkStart w:id="71" w:name="references"/>
    <w:p>
      <w:pPr>
        <w:pStyle w:val="Heading1"/>
      </w:pPr>
      <w:r>
        <w:t xml:space="preserve">12. References</w:t>
      </w:r>
    </w:p>
    <w:bookmarkStart w:id="70" w:name="refs"/>
    <w:bookmarkStart w:id="61" w:name="ref-dang2010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Dang CC, Le QS, Gascuel O, Le VS.</w:t>
      </w:r>
      <w:r>
        <w:t xml:space="preserve"> </w:t>
      </w:r>
      <w:r>
        <w:t xml:space="preserve">FLU</w:t>
      </w:r>
      <w:r>
        <w:t xml:space="preserve">, an amino acid substitution model for influenza proteins. BMC Evolutionary Biology. 2010;10: 99. doi:</w:t>
      </w:r>
      <w:hyperlink r:id="rId60">
        <w:r>
          <w:rPr>
            <w:rStyle w:val="Hyperlink"/>
          </w:rPr>
          <w:t xml:space="preserve">10.1186/1471-2148-10-99</w:t>
        </w:r>
      </w:hyperlink>
    </w:p>
    <w:bookmarkEnd w:id="61"/>
    <w:bookmarkStart w:id="62" w:name="ref-burnham2002model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Burnham KP, Anderson DR. Model selection and multimodel inference: A practical information-theoretic approach. 2nd ed. New York: Springer; 2002.</w:t>
      </w:r>
      <w:r>
        <w:t xml:space="preserve"> </w:t>
      </w:r>
    </w:p>
    <w:bookmarkEnd w:id="62"/>
    <w:bookmarkStart w:id="64" w:name="ref-rubin1981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Rubin DB. The bayesian bootstrap. The Annals of Statistics. 1981;9: 130–134. doi:</w:t>
      </w:r>
      <w:hyperlink r:id="rId63">
        <w:r>
          <w:rPr>
            <w:rStyle w:val="Hyperlink"/>
          </w:rPr>
          <w:t xml:space="preserve">10.1214/aos/1176345338</w:t>
        </w:r>
      </w:hyperlink>
    </w:p>
    <w:bookmarkEnd w:id="64"/>
    <w:bookmarkStart w:id="65" w:name="ref-fisher1921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Fisher RA. On the probable error of a coefficient of correlation deduced from a small sample. Metron. 1921;1: 3–32.</w:t>
      </w:r>
      <w:r>
        <w:t xml:space="preserve"> </w:t>
      </w:r>
    </w:p>
    <w:bookmarkEnd w:id="65"/>
    <w:bookmarkStart w:id="67" w:name="ref-shimodaira1999ShTest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Shimodaira H, Hasegawa M. Multiple comparisons of log-likelihoods with applications to phylogenetic inference. Molecular Biology and Evolution. 1999;16: 1114–1116. doi:</w:t>
      </w:r>
      <w:hyperlink r:id="rId66">
        <w:r>
          <w:rPr>
            <w:rStyle w:val="Hyperlink"/>
          </w:rPr>
          <w:t xml:space="preserve">10.1093/oxfordjournals.molbev.a026201</w:t>
        </w:r>
      </w:hyperlink>
    </w:p>
    <w:bookmarkEnd w:id="67"/>
    <w:bookmarkStart w:id="69" w:name="X8b6875512c705bb343382cbd274febad517fdf3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Robinson DF, Foulds LR. Comparison of phylogenetic trees. Mathematical Biosciences. 1981;53: 131–147. doi:</w:t>
      </w:r>
      <w:hyperlink r:id="rId68">
        <w:r>
          <w:rPr>
            <w:rStyle w:val="Hyperlink"/>
          </w:rPr>
          <w:t xml:space="preserve">10.1016/0025-5564(81)90043-2</w:t>
        </w:r>
      </w:hyperlink>
    </w:p>
    <w:bookmarkEnd w:id="69"/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hyperlink" Id="rId68" Target="https://doi.org/10.1016/0025-5564(81)90043-2" TargetMode="External" /><Relationship Type="http://schemas.openxmlformats.org/officeDocument/2006/relationships/hyperlink" Id="rId66" Target="https://doi.org/10.1093/oxfordjournals.molbev.a026201" TargetMode="External" /><Relationship Type="http://schemas.openxmlformats.org/officeDocument/2006/relationships/hyperlink" Id="rId60" Target="https://doi.org/10.1186/1471-2148-10-99" TargetMode="External" /><Relationship Type="http://schemas.openxmlformats.org/officeDocument/2006/relationships/hyperlink" Id="rId63" Target="https://doi.org/10.1214/aos/117634533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doi.org/10.1016/0025-5564(81)90043-2" TargetMode="External" /><Relationship Type="http://schemas.openxmlformats.org/officeDocument/2006/relationships/hyperlink" Id="rId66" Target="https://doi.org/10.1093/oxfordjournals.molbev.a026201" TargetMode="External" /><Relationship Type="http://schemas.openxmlformats.org/officeDocument/2006/relationships/hyperlink" Id="rId60" Target="https://doi.org/10.1186/1471-2148-10-99" TargetMode="External" /><Relationship Type="http://schemas.openxmlformats.org/officeDocument/2006/relationships/hyperlink" Id="rId63" Target="https://doi.org/10.1214/aos/117634533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Material: Comparing antigenic distance metrics for influenza</dc:title>
  <dc:creator/>
  <dc:language>en-US</dc:language>
  <cp:keywords/>
  <dcterms:created xsi:type="dcterms:W3CDTF">2026-06-04T22:45:46Z</dcterms:created>
  <dcterms:modified xsi:type="dcterms:W3CDTF">2026-06-04T22:45:46Z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project-refs.bib</vt:lpwstr>
  </property>
  <property fmtid="{D5CDD505-2E9C-101B-9397-08002B2CF9AE}" pid="4" name="csl">
    <vt:lpwstr>plos-computational-biology.csl</vt:lpwstr>
  </property>
  <property fmtid="{D5CDD505-2E9C-101B-9397-08002B2CF9AE}" pid="5" name="editor_option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