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antigenic distance metrics for influenza</w:t>
      </w:r>
    </w:p>
    <w:p>
      <w:pPr>
        <w:pStyle w:val="Subtitle"/>
      </w:pPr>
      <w:r>
        <w:t xml:space="preserve">EPID 8200 project</w:t>
      </w:r>
    </w:p>
    <w:p>
      <w:pPr>
        <w:pStyle w:val="Author"/>
      </w:pPr>
      <w:r>
        <w:t xml:space="preserve">W. Zane Billings</w:t>
      </w:r>
    </w:p>
    <w:p>
      <w:pPr>
        <w:pStyle w:val="Date"/>
      </w:pPr>
      <w:r>
        <w:t xml:space="preserve">2026-05-31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Developing universal influenza vaccines will require improved understanding</w:t>
      </w:r>
      <w:r>
        <w:t xml:space="preserve"> </w:t>
      </w:r>
      <w:r>
        <w:t xml:space="preserve">of how influenza variants differ from each other.</w:t>
      </w:r>
      <w:r>
        <w:t xml:space="preserve"> </w:t>
      </w:r>
      <w:r>
        <w:t xml:space="preserve">We find that temporal distances perform poorly overall,</w:t>
      </w:r>
      <w:r>
        <w:t xml:space="preserve"> </w:t>
      </w:r>
      <w:r>
        <w:t xml:space="preserve">but even biophysical and epitope-based sequence distances which match</w:t>
      </w:r>
      <w:r>
        <w:t xml:space="preserve"> </w:t>
      </w:r>
      <w:r>
        <w:t xml:space="preserve">phylogenetic distances well do not match cartographic distances based on actual</w:t>
      </w:r>
      <w:r>
        <w:t xml:space="preserve"> </w:t>
      </w:r>
      <w:r>
        <w:t xml:space="preserve">immune response data.</w:t>
      </w:r>
    </w:p>
    <w:p>
      <w:pPr>
        <w:pStyle w:val="FirstParagraph"/>
      </w:pPr>
      <w:r>
        <w:t xml:space="preserve">Influenza A virus causes seasonal epidemics worldwide, primarily driven by</w:t>
      </w:r>
      <w:r>
        <w:t xml:space="preserve"> </w:t>
      </w:r>
      <w:r>
        <w:t xml:space="preserve">continual evolution of the virus under selective pressure by host immunity</w:t>
      </w:r>
      <w:r>
        <w:t xml:space="preserve"> </w:t>
      </w:r>
      <w:r>
        <w:t xml:space="preserve">[1]</w:t>
      </w:r>
      <w:r>
        <w:t xml:space="preserve">. Development of a universal influenza vaccine which can protect</w:t>
      </w:r>
      <w:r>
        <w:t xml:space="preserve"> </w:t>
      </w:r>
      <w:r>
        <w:t xml:space="preserve">against novel strains of influenza has many challenges, including surveillance</w:t>
      </w:r>
      <w:r>
        <w:t xml:space="preserve"> </w:t>
      </w:r>
      <w:r>
        <w:t xml:space="preserve">of new genomic variants and predicting which will be successful</w:t>
      </w:r>
      <w:r>
        <w:t xml:space="preserve"> </w:t>
      </w:r>
      <w:r>
        <w:t xml:space="preserve">[2]</w:t>
      </w:r>
      <w:r>
        <w:t xml:space="preserve">. Statistical modeling and phylodynamic approaches are crucial</w:t>
      </w:r>
      <w:r>
        <w:t xml:space="preserve"> </w:t>
      </w:r>
      <w:r>
        <w:t xml:space="preserve">tools in the development of a more broadly-protective influenza vaccine, but</w:t>
      </w:r>
      <w:r>
        <w:t xml:space="preserve"> </w:t>
      </w:r>
      <w:r>
        <w:t xml:space="preserve">these methods rely on understanding how different each genomic variant of</w:t>
      </w:r>
      <w:r>
        <w:t xml:space="preserve"> </w:t>
      </w:r>
      <w:r>
        <w:t xml:space="preserve">influenza actually is from its predecessors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Many different metrics for assessing the antigenic difference between two</w:t>
      </w:r>
      <w:r>
        <w:t xml:space="preserve"> </w:t>
      </w:r>
      <w:r>
        <w:t xml:space="preserve">influenza strains currently exist, including phylogenetic methods</w:t>
      </w:r>
      <w:r>
        <w:t xml:space="preserve"> </w:t>
      </w:r>
      <w:r>
        <w:t xml:space="preserve">[4]</w:t>
      </w:r>
      <w:r>
        <w:t xml:space="preserve">, sequence distances</w:t>
      </w:r>
      <w:r>
        <w:t xml:space="preserve"> </w:t>
      </w:r>
      <w:r>
        <w:t xml:space="preserve">[5,6]</w:t>
      </w:r>
      <w:r>
        <w:t xml:space="preserve">, and antigenic cartography, which is based on observed</w:t>
      </w:r>
      <w:r>
        <w:t xml:space="preserve"> </w:t>
      </w:r>
      <w:r>
        <w:t xml:space="preserve">immunological data</w:t>
      </w:r>
      <w:r>
        <w:t xml:space="preserve"> </w:t>
      </w:r>
      <w:r>
        <w:t xml:space="preserve">[7]</w:t>
      </w:r>
      <w:r>
        <w:t xml:space="preserve">. To understand the agreement in</w:t>
      </w:r>
      <w:r>
        <w:t xml:space="preserve"> </w:t>
      </w:r>
      <w:r>
        <w:t xml:space="preserve">different distance measurements, we obtained data from a cohort</w:t>
      </w:r>
      <w:r>
        <w:t xml:space="preserve"> </w:t>
      </w:r>
      <w:r>
        <w:t xml:space="preserve">study that has been previously described</w:t>
      </w:r>
      <w:r>
        <w:t xml:space="preserve"> </w:t>
      </w:r>
      <w:r>
        <w:t xml:space="preserve">[8,9]</w:t>
      </w:r>
      <w:r>
        <w:t xml:space="preserve">. Using</w:t>
      </w:r>
      <w:r>
        <w:t xml:space="preserve"> </w:t>
      </w:r>
      <w:r>
        <w:t xml:space="preserve">data from this study, we compared antigenic cartography and sequence methods</w:t>
      </w:r>
      <w:r>
        <w:t xml:space="preserve"> </w:t>
      </w:r>
      <w:r>
        <w:t xml:space="preserve">to phylogenetic</w:t>
      </w:r>
      <w:r>
        <w:t xml:space="preserve"> </w:t>
      </w:r>
      <w:r>
        <w:t xml:space="preserve">methods.</w:t>
      </w:r>
    </w:p>
    <w:bookmarkStart w:id="20" w:name="study-methodology"/>
    <w:p>
      <w:pPr>
        <w:pStyle w:val="Heading1"/>
      </w:pPr>
      <w:r>
        <w:t xml:space="preserve">Study Methodology</w:t>
      </w:r>
    </w:p>
    <w:p>
      <w:pPr>
        <w:pStyle w:val="FirstParagraph"/>
      </w:pPr>
      <w:r>
        <w:t xml:space="preserve">Briefly, our study data</w:t>
      </w:r>
      <w:r>
        <w:t xml:space="preserve"> </w:t>
      </w:r>
      <w:r>
        <w:t xml:space="preserve">[8,9]</w:t>
      </w:r>
      <w:r>
        <w:t xml:space="preserve"> </w:t>
      </w:r>
      <w:r>
        <w:t xml:space="preserve">consisted of volunteers</w:t>
      </w:r>
      <w:r>
        <w:t xml:space="preserve"> </w:t>
      </w:r>
      <w:r>
        <w:t xml:space="preserve">enrolled at three different study sites from 2013 – 2019 who received a</w:t>
      </w:r>
      <w:r>
        <w:t xml:space="preserve"> </w:t>
      </w:r>
      <w:r>
        <w:t xml:space="preserve">FluZone (Sanofi Pasteur) vaccine, and gave pre-vaccination and post-vaccination</w:t>
      </w:r>
      <w:r>
        <w:t xml:space="preserve"> </w:t>
      </w:r>
      <w:r>
        <w:t xml:space="preserve">(21 or 28 day) serum samples. The serum samples were used for HAI assays against</w:t>
      </w:r>
      <w:r>
        <w:t xml:space="preserve"> </w:t>
      </w:r>
      <w:r>
        <w:t xml:space="preserve">a panel of historical viruses. We computed the mean Grantham amino-acid</w:t>
      </w:r>
      <w:r>
        <w:t xml:space="preserve"> </w:t>
      </w:r>
      <w:r>
        <w:t xml:space="preserve">distance per comparable aligned site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[6]</w:t>
      </w:r>
      <w:r>
        <w:t xml:space="preserve">, and the absolute difference in the year of isolation of strains</w:t>
      </w:r>
      <w:r>
        <w:t xml:space="preserve"> </w:t>
      </w:r>
      <w:r>
        <w:t xml:space="preserve">[10]</w:t>
      </w:r>
      <w:r>
        <w:t xml:space="preserve"> </w:t>
      </w:r>
      <w:r>
        <w:t xml:space="preserve">from the sequences of all influenza viruses used for HAI assays,</w:t>
      </w:r>
      <w:r>
        <w:t xml:space="preserve"> </w:t>
      </w:r>
      <w:r>
        <w:t xml:space="preserve">and used Racmacs to compute antigenic cartography distances from the HAI data</w:t>
      </w:r>
      <w:r>
        <w:t xml:space="preserve"> </w:t>
      </w:r>
      <w:r>
        <w:t xml:space="preserve">[11]</w:t>
      </w:r>
      <w:r>
        <w:t xml:space="preserve">. All of our analyses were conducted</w:t>
      </w:r>
      <w:r>
        <w:t xml:space="preserve"> </w:t>
      </w:r>
      <w:r>
        <w:t xml:space="preserve">separately for H1N1 and H3N2 strains.</w:t>
      </w:r>
    </w:p>
    <w:p>
      <w:pPr>
        <w:pStyle w:val="BodyText"/>
      </w:pPr>
      <w:r>
        <w:t xml:space="preserve">In order to compare with phylogenetic methods, we first computed a multiple</w:t>
      </w:r>
      <w:r>
        <w:t xml:space="preserve"> </w:t>
      </w:r>
      <w:r>
        <w:t xml:space="preserve">sequence alignment (MSA) using the MUSCLE algorithm</w:t>
      </w:r>
      <w:r>
        <w:t xml:space="preserve"> </w:t>
      </w:r>
      <w:r>
        <w:t xml:space="preserve">[12]</w:t>
      </w:r>
      <w:r>
        <w:t xml:space="preserve">. The Grantham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-Epitope distances were computed based on this MSA. For Grantham</w:t>
      </w:r>
      <w:r>
        <w:t xml:space="preserve"> </w:t>
      </w:r>
      <w:r>
        <w:t xml:space="preserve">distance, aligned positions containing gaps, ambiguous residues, or non-standard</w:t>
      </w:r>
      <w:r>
        <w:t xml:space="preserve"> </w:t>
      </w:r>
      <w:r>
        <w:t xml:space="preserve">amino acids were excluded from the pair-specific denominator rather than treated</w:t>
      </w:r>
      <w:r>
        <w:t xml:space="preserve"> </w:t>
      </w:r>
      <w:r>
        <w:t xml:space="preserve">as zero-distance substitutions. We had 18</w:t>
      </w:r>
      <w:r>
        <w:t xml:space="preserve"> </w:t>
      </w:r>
      <w:r>
        <w:t xml:space="preserve">H1N1 strains and 21 H3N2 strains in total. We then used</w:t>
      </w:r>
      <w:r>
        <w:t xml:space="preserve"> </w:t>
      </w:r>
      <w:r>
        <w:t xml:space="preserve">both alignments to construct maximum likelihood (ML) unrooted phylogenetic trees</w:t>
      </w:r>
      <w:r>
        <w:t xml:space="preserve"> </w:t>
      </w:r>
      <w:r>
        <w:t xml:space="preserve">using the FLU amino acid substitution model</w:t>
      </w:r>
      <w:r>
        <w:t xml:space="preserve"> </w:t>
      </w:r>
      <w:r>
        <w:t xml:space="preserve">[13]</w:t>
      </w:r>
      <w:r>
        <w:t xml:space="preserve">. For each subtype, we</w:t>
      </w:r>
      <w:r>
        <w:t xml:space="preserve"> </w:t>
      </w:r>
      <w:r>
        <w:t xml:space="preserve">compared FLU-family models with and without invariant sites and discrete gamma</w:t>
      </w:r>
      <w:r>
        <w:t xml:space="preserve"> </w:t>
      </w:r>
      <w:r>
        <w:t xml:space="preserve">rate variation, evaluating gamma category counts from 4 to 32 in increments of</w:t>
      </w:r>
      <w:r>
        <w:t xml:space="preserve"> </w:t>
      </w:r>
      <w:r>
        <w:t xml:space="preserve">4 for the full analysis. Models were compared with AICc</w:t>
      </w:r>
      <w:r>
        <w:t xml:space="preserve"> </w:t>
      </w:r>
      <w:r>
        <w:t xml:space="preserve">[14,15]</w:t>
      </w:r>
      <w:r>
        <w:t xml:space="preserve">. We selected the AICc-supported model within</w:t>
      </w:r>
      <w:r>
        <w:t xml:space="preserve"> </w:t>
      </w:r>
      <w:r>
        <w:t xml:space="preserve">each subtype, but preferred a common model for both subtypes when the common</w:t>
      </w:r>
      <w:r>
        <w:t xml:space="preserve"> </w:t>
      </w:r>
      <w:r>
        <w:t xml:space="preserve">model’s log-likelihood loss was no more than 10% relative to the</w:t>
      </w:r>
      <w:r>
        <w:t xml:space="preserve"> </w:t>
      </w:r>
      <w:r>
        <w:t xml:space="preserve">subtype-specific AICc-supported model. We extracted the</w:t>
      </w:r>
      <w:r>
        <w:t xml:space="preserve"> </w:t>
      </w:r>
      <w:r>
        <w:t xml:space="preserve">cophenetic distances between taxa from the ML trees, and compared these</w:t>
      </w:r>
      <w:r>
        <w:t xml:space="preserve"> </w:t>
      </w:r>
      <w:r>
        <w:t xml:space="preserve">distances to our other distance metrics (temporal, Grantham,</w:t>
      </w:r>
      <w:r>
        <w:t xml:space="preserve"> </w:t>
      </w:r>
      <m:oMath>
        <m:r>
          <m:t>p</m:t>
        </m:r>
      </m:oMath>
      <w:r>
        <w:t xml:space="preserve">-Epitope, and cartography) using Mantel correlations with matrix</w:t>
      </w:r>
      <w:r>
        <w:t xml:space="preserve"> </w:t>
      </w:r>
      <w:r>
        <w:t xml:space="preserve">permutation p-values</w:t>
      </w:r>
      <w:r>
        <w:t xml:space="preserve"> </w:t>
      </w:r>
      <w:r>
        <w:t xml:space="preserve">[16,17]</w:t>
      </w:r>
      <w:r>
        <w:t xml:space="preserve">. These comparisons used only unique off-diagonal</w:t>
      </w:r>
      <w:r>
        <w:t xml:space="preserve"> </w:t>
      </w:r>
      <w:r>
        <w:t xml:space="preserve">strain pairs, excluding duplicate symmetric distances and self-comparisons.</w:t>
      </w:r>
      <w:r>
        <w:t xml:space="preserve"> </w:t>
      </w:r>
      <w:r>
        <w:t xml:space="preserve">We estimated 95% intervals for the Mantel statistic using Bayesian bootstrap</w:t>
      </w:r>
      <w:r>
        <w:t xml:space="preserve"> </w:t>
      </w:r>
      <w:r>
        <w:t xml:space="preserve">resampling over strain units</w:t>
      </w:r>
      <w:r>
        <w:t xml:space="preserve"> </w:t>
      </w:r>
      <w:r>
        <w:t xml:space="preserve">[18]</w:t>
      </w:r>
      <w:r>
        <w:t xml:space="preserve">. To quantify subtype differences,</w:t>
      </w:r>
      <w:r>
        <w:t xml:space="preserve"> </w:t>
      </w:r>
      <w:r>
        <w:t xml:space="preserve">we subtracted the H1N1 Mantel correlation from the H3N2 Mantel correlation for</w:t>
      </w:r>
      <w:r>
        <w:t xml:space="preserve"> </w:t>
      </w:r>
      <w:r>
        <w:t xml:space="preserve">each distance metric, with uncertainty estimated by the same strain-level</w:t>
      </w:r>
      <w:r>
        <w:t xml:space="preserve"> </w:t>
      </w:r>
      <w:r>
        <w:t xml:space="preserve">Bayesian bootstrap. Descriptive Pearson correlations using the same unique</w:t>
      </w:r>
      <w:r>
        <w:t xml:space="preserve"> </w:t>
      </w:r>
      <w:r>
        <w:t xml:space="preserve">off-diagonal pair representation are reported in the supplement for</w:t>
      </w:r>
      <w:r>
        <w:t xml:space="preserve"> </w:t>
      </w:r>
      <w:r>
        <w:t xml:space="preserve">interpretability.</w:t>
      </w:r>
    </w:p>
    <w:p>
      <w:pPr>
        <w:pStyle w:val="BodyText"/>
      </w:pPr>
      <w:r>
        <w:t xml:space="preserve">For each of the four distance metrics, we also built distance-based trees using</w:t>
      </w:r>
      <w:r>
        <w:t xml:space="preserve"> </w:t>
      </w:r>
      <w:r>
        <w:t xml:space="preserve">neighbor joining</w:t>
      </w:r>
      <w:r>
        <w:t xml:space="preserve"> </w:t>
      </w:r>
      <w:r>
        <w:t xml:space="preserve">[19]</w:t>
      </w:r>
      <w:r>
        <w:t xml:space="preserve">. To compare the methods, we</w:t>
      </w:r>
      <w:r>
        <w:t xml:space="preserve"> </w:t>
      </w:r>
      <w:r>
        <w:t xml:space="preserve">calculated the likelihood of each distance-based tree under the selected ML</w:t>
      </w:r>
      <w:r>
        <w:t xml:space="preserve"> </w:t>
      </w:r>
      <w:r>
        <w:t xml:space="preserve">model and treated the decrease in log likelihood from the ML tree as the primary</w:t>
      </w:r>
      <w:r>
        <w:t xml:space="preserve"> </w:t>
      </w:r>
      <w:r>
        <w:t xml:space="preserve">tree-comparison statistic. We did not use a standard likelihood-ratio test</w:t>
      </w:r>
      <w:r>
        <w:t xml:space="preserve"> </w:t>
      </w:r>
      <w:r>
        <w:t xml:space="preserve">because these fixed distance-tree topologies are not nested regular parametric</w:t>
      </w:r>
      <w:r>
        <w:t xml:space="preserve"> </w:t>
      </w:r>
      <w:r>
        <w:t xml:space="preserve">models relative to the optimized ML topology. As secondary checks, we estimated</w:t>
      </w:r>
      <w:r>
        <w:t xml:space="preserve"> </w:t>
      </w:r>
      <w:r>
        <w:t xml:space="preserve">Shimodaira-Hasegawa p-values</w:t>
      </w:r>
      <w:r>
        <w:t xml:space="preserve"> </w:t>
      </w:r>
      <w:r>
        <w:t xml:space="preserve">[20]</w:t>
      </w:r>
      <w:r>
        <w:t xml:space="preserve"> </w:t>
      </w:r>
      <w:r>
        <w:t xml:space="preserve">and computed</w:t>
      </w:r>
      <w:r>
        <w:t xml:space="preserve"> </w:t>
      </w:r>
      <w:r>
        <w:t xml:space="preserve">Robinson-Foulds distances</w:t>
      </w:r>
      <w:r>
        <w:t xml:space="preserve"> </w:t>
      </w:r>
      <w:r>
        <w:t xml:space="preserve">[21]</w:t>
      </w:r>
      <w:r>
        <w:t xml:space="preserve"> </w:t>
      </w:r>
      <w:r>
        <w:t xml:space="preserve">between</w:t>
      </w:r>
      <w:r>
        <w:t xml:space="preserve"> </w:t>
      </w:r>
      <w:r>
        <w:t xml:space="preserve">each distance tree and the ML tree. We also evaluated ML-tree robustness with</w:t>
      </w:r>
      <w:r>
        <w:t xml:space="preserve"> </w:t>
      </w:r>
      <w:r>
        <w:t xml:space="preserve">nonparametric site-bootstrap resampling of the fitted ML tree, reporting</w:t>
      </w:r>
      <w:r>
        <w:t xml:space="preserve"> </w:t>
      </w:r>
      <w:r>
        <w:t xml:space="preserve">internal-branch support and bootstrap topology-stability diagnostics in the</w:t>
      </w:r>
      <w:r>
        <w:t xml:space="preserve"> </w:t>
      </w:r>
      <w:r>
        <w:t xml:space="preserve">supplement. Our analyses were implemented</w:t>
      </w:r>
      <w:r>
        <w:t xml:space="preserve"> </w:t>
      </w:r>
      <w:r>
        <w:t xml:space="preserve">with R version 4.3.3</w:t>
      </w:r>
      <w:r>
        <w:t xml:space="preserve"> </w:t>
      </w:r>
      <w:r>
        <w:t xml:space="preserve">[22]</w:t>
      </w:r>
      <w:r>
        <w:t xml:space="preserve"> </w:t>
      </w:r>
      <w:r>
        <w:t xml:space="preserve">using the packages</w:t>
      </w:r>
      <w:r>
        <w:t xml:space="preserve"> </w:t>
      </w:r>
      <w:r>
        <w:rPr>
          <w:rStyle w:val="VerbatimChar"/>
        </w:rPr>
        <w:t xml:space="preserve">phangorn</w:t>
      </w:r>
      <w:r>
        <w:t xml:space="preserve"> </w:t>
      </w:r>
      <w:r>
        <w:t xml:space="preserve">[15]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[23]</w:t>
      </w:r>
      <w:r>
        <w:t xml:space="preserve">.</w:t>
      </w:r>
    </w:p>
    <w:bookmarkEnd w:id="20"/>
    <w:bookmarkStart w:id="36" w:name="study-results"/>
    <w:p>
      <w:pPr>
        <w:pStyle w:val="Heading1"/>
      </w:pPr>
      <w:r>
        <w:t xml:space="preserve">Study Results</w:t>
      </w:r>
    </w:p>
    <w:p>
      <w:pPr>
        <w:pStyle w:val="FirstParagraph"/>
      </w:pPr>
      <w:r>
        <w:t xml:space="preserve">The distance metrics differed in their Mantel agreement with ML-tree cophenetic</w:t>
      </w:r>
      <w:r>
        <w:t xml:space="preserve"> </w:t>
      </w:r>
      <w:r>
        <w:t xml:space="preserve">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distance-correlations">
        <w:r>
          <w:rPr>
            <w:rStyle w:val="Hyperlink"/>
          </w:rPr>
          <w:t xml:space="preserve">Table 1</w:t>
        </w:r>
      </w:hyperlink>
      <w:r>
        <w:t xml:space="preserve">). Grantham and</w:t>
      </w:r>
      <w:r>
        <w:t xml:space="preserve"> </w:t>
      </w:r>
      <m:oMath>
        <m:r>
          <m:t>p</m:t>
        </m:r>
      </m:oMath>
      <w:r>
        <w:t xml:space="preserve">-Epitope</w:t>
      </w:r>
      <w:r>
        <w:t xml:space="preserve"> </w:t>
      </w:r>
      <w:r>
        <w:t xml:space="preserve">distances were strongly associated with ML-tree distance for both subtypes,</w:t>
      </w:r>
      <w:r>
        <w:t xml:space="preserve"> </w:t>
      </w:r>
      <w:r>
        <w:t xml:space="preserve">while cartographic distance had lower matrix correlations. Temporal distance was</w:t>
      </w:r>
      <w:r>
        <w:t xml:space="preserve"> </w:t>
      </w:r>
      <w:r>
        <w:t xml:space="preserve">strongly associated with ML-tree distance for H3N2, but not for H1N1. H1N1 has</w:t>
      </w:r>
      <w:r>
        <w:t xml:space="preserve"> </w:t>
      </w:r>
      <w:r>
        <w:t xml:space="preserve">two clusters, 2009 pandemic-like (pdm) and non-pdm. The pdm-like strains are</w:t>
      </w:r>
      <w:r>
        <w:t xml:space="preserve"> </w:t>
      </w:r>
      <w:r>
        <w:t xml:space="preserve">genetically more similar to the 1918 pandemic strain than to most strains which</w:t>
      </w:r>
      <w:r>
        <w:t xml:space="preserve"> </w:t>
      </w:r>
      <w:r>
        <w:t xml:space="preserve">circulated from 1950 – 2009, so a simple temporal-distance comparison can be</w:t>
      </w:r>
      <w:r>
        <w:t xml:space="preserve"> </w:t>
      </w:r>
      <w:r>
        <w:t xml:space="preserve">weak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orr-plo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Scatterplots showing min-max normalized cophenetic tree distance on the</w:t>
            </w:r>
            <w:r>
              <w:t xml:space="preserve"> </w:t>
            </w:r>
            <w:r>
              <w:t xml:space="preserve">x-axis and each min-max normalized distance metric on the y-axis. Points</w:t>
            </w:r>
            <w:r>
              <w:t xml:space="preserve"> </w:t>
            </w:r>
            <w:r>
              <w:t xml:space="preserve">are unique off-diagonal strain pairs and are colored by subtype.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istance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Mantel correlations between each distance metric and ML-tree cophenetic distance, overall and by subtype. Intervals are Bayesian bootstrap 95% intervals over strain units. P-values are two-sided matrix-permutation p-values for the observed strain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1108"/>
              <w:gridCol w:w="2550"/>
              <w:gridCol w:w="1205"/>
              <w:gridCol w:w="1536"/>
              <w:gridCol w:w="2379"/>
              <w:gridCol w:w="1707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5"/>
        </w:tc>
      </w:tr>
    </w:tbl>
    <w:p>
      <w:pPr>
        <w:pStyle w:val="BodyText"/>
      </w:pPr>
      <w:r>
        <w:t xml:space="preserve">Subtype contrasts quantify these patterns directly (</w:t>
      </w:r>
      <w:hyperlink w:anchor="fig-subtype-contrasts">
        <w:r>
          <w:rPr>
            <w:rStyle w:val="Hyperlink"/>
          </w:rPr>
          <w:t xml:space="preserve">Figure 2</w:t>
        </w:r>
      </w:hyperlink>
      <w:r>
        <w:t xml:space="preserve">;</w:t>
      </w:r>
      <w:r>
        <w:t xml:space="preserve"> </w:t>
      </w:r>
      <w:hyperlink w:anchor="tbl-subtype-contrasts">
        <w:r>
          <w:rPr>
            <w:rStyle w:val="Hyperlink"/>
          </w:rPr>
          <w:t xml:space="preserve">Table 2</w:t>
        </w:r>
      </w:hyperlink>
      <w:r>
        <w:t xml:space="preserve">). Temporal distance and cartographic distance had larger</w:t>
      </w:r>
      <w:r>
        <w:t xml:space="preserve"> </w:t>
      </w:r>
      <w:r>
        <w:t xml:space="preserve">H3N2-than-H1N1 Mantel correlations in this strain panel, while the</w:t>
      </w:r>
      <w:r>
        <w:t xml:space="preserve"> </w:t>
      </w:r>
      <w:r>
        <w:t xml:space="preserve">sequence-derived contrasts were smaller.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btype-contrasts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subtype-mantel-contrast-plo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Subtype contrasts in Mantel correlation between each distance metric and</w:t>
            </w:r>
            <w:r>
              <w:t xml:space="preserve"> </w:t>
            </w:r>
            <w:r>
              <w:t xml:space="preserve">ML-tree cophenetic distance. Points are H3N2 minus H1N1 differences, with</w:t>
            </w:r>
            <w:r>
              <w:t xml:space="preserve"> </w:t>
            </w:r>
            <w:r>
              <w:t xml:space="preserve">95% Bayesian bootstrap intervals over strain units.</w:t>
            </w:r>
          </w:p>
          <w:bookmarkEnd w:id="2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ubtype-contras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H1N1 and H3N2 Mantel correlations and their subtype contrast for each distance metric. Differences are H3N2 minus H1N1. Intervals are Bayesian bootstrap 95% intervals over strain units.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3149"/>
              <w:gridCol w:w="3149"/>
              <w:gridCol w:w="1829"/>
              <w:gridCol w:w="1829"/>
              <w:gridCol w:w="2941"/>
              <w:gridCol w:w="1682"/>
              <w:gridCol w:w="200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30"/>
        </w:tc>
      </w:tr>
    </w:tbl>
    <w:p>
      <w:pPr>
        <w:pStyle w:val="BodyText"/>
      </w:pPr>
      <w:r>
        <w:t xml:space="preserve">The cartographic Mantel correlation for H1N1 is also moderate, indicating that</w:t>
      </w:r>
      <w:r>
        <w:t xml:space="preserve"> </w:t>
      </w:r>
      <w:r>
        <w:t xml:space="preserve">the evolutionary pattern of H1N1 strains does not necessarily explain variation</w:t>
      </w:r>
      <w:r>
        <w:t xml:space="preserve"> </w:t>
      </w:r>
      <w:r>
        <w:t xml:space="preserve">in observed immune responses. For H3N2, the cartographic correlation was the</w:t>
      </w:r>
      <w:r>
        <w:t xml:space="preserve"> </w:t>
      </w:r>
      <w:r>
        <w:t xml:space="preserve">lowest, and the two distances become less correlated as the distance values</w:t>
      </w:r>
      <w:r>
        <w:t xml:space="preserve"> </w:t>
      </w:r>
      <w:r>
        <w:t xml:space="preserve">become larger. For closely related H3N2 strains the ability of the tree distance</w:t>
      </w:r>
      <w:r>
        <w:t xml:space="preserve"> </w:t>
      </w:r>
      <w:r>
        <w:t xml:space="preserve">to predict differences in immune response appears to attenuate as strains drift</w:t>
      </w:r>
      <w:r>
        <w:t xml:space="preserve"> </w:t>
      </w:r>
      <w:r>
        <w:t xml:space="preserve">further away.</w:t>
      </w:r>
    </w:p>
    <w:p>
      <w:pPr>
        <w:pStyle w:val="BodyText"/>
      </w:pPr>
      <w:r>
        <w:t xml:space="preserve">The ML trees for both subtypes were able to reconstruct the</w:t>
      </w:r>
      <w:r>
        <w:t xml:space="preserve"> </w:t>
      </w:r>
      <w:r>
        <w:t xml:space="preserve">patterns we expect for H1N1 and H3N2 influenza (</w:t>
      </w:r>
      <w:hyperlink w:anchor="fig-mltrees">
        <w:r>
          <w:rPr>
            <w:rStyle w:val="Hyperlink"/>
          </w:rPr>
          <w:t xml:space="preserve">Figure 3</w:t>
        </w:r>
      </w:hyperlink>
      <w:r>
        <w:t xml:space="preserve">). The H1N1</w:t>
      </w:r>
      <w:r>
        <w:t xml:space="preserve"> </w:t>
      </w:r>
      <w:r>
        <w:t xml:space="preserve">strains form two clades, one pdm-like clade which contains SC/18 (the 1918</w:t>
      </w:r>
      <w:r>
        <w:t xml:space="preserve"> </w:t>
      </w:r>
      <w:r>
        <w:t xml:space="preserve">pandemic strain), NJ/76 swine influenza, and the modern pdm-like strains. The</w:t>
      </w:r>
      <w:r>
        <w:t xml:space="preserve"> </w:t>
      </w:r>
      <w:r>
        <w:t xml:space="preserve">other clade contains the H1N1 strains which circulated between the 1918 pandemic</w:t>
      </w:r>
      <w:r>
        <w:t xml:space="preserve"> </w:t>
      </w:r>
      <w:r>
        <w:t xml:space="preserve">and the 2009 pandemic. The H3N2</w:t>
      </w:r>
      <w:r>
        <w:t xml:space="preserve"> </w:t>
      </w:r>
      <w:r>
        <w:t xml:space="preserve">strains tend to follow a similar ladder-like pattern, beginning with HK/68 and</w:t>
      </w:r>
      <w:r>
        <w:t xml:space="preserve"> </w:t>
      </w:r>
      <w:r>
        <w:t xml:space="preserve">primarily separating by temporal distance, which corroborates the associations</w:t>
      </w:r>
      <w:r>
        <w:t xml:space="preserve"> </w:t>
      </w:r>
      <w:r>
        <w:t xml:space="preserve">between temporal and cophenetic 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mltrees"/>
          <w:p>
            <w:pPr>
              <w:pStyle w:val="Compact"/>
              <w:jc w:val="center"/>
            </w:pPr>
            <w:r>
              <w:drawing>
                <wp:inline>
                  <wp:extent cx="5334000" cy="266630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l-tre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Maximum likelihood phylogenetic trees for H1N1 strains (left) and H3N2</w:t>
            </w:r>
            <w:r>
              <w:t xml:space="preserve"> </w:t>
            </w:r>
            <w:r>
              <w:t xml:space="preserve">strains (right). Both trees are rooted at the midpoint for display</w:t>
            </w:r>
            <w:r>
              <w:t xml:space="preserve"> </w:t>
            </w:r>
            <w:r>
              <w:t xml:space="preserve">purposes, but the root was not optimized during fitting.</w:t>
            </w:r>
          </w:p>
          <w:bookmarkEnd w:id="34"/>
        </w:tc>
      </w:tr>
    </w:tbl>
    <w:p>
      <w:pPr>
        <w:pStyle w:val="BodyText"/>
      </w:pPr>
      <w:r>
        <w:t xml:space="preserve">For brevity, we do not show all 8 of the distance-based neighbor joining</w:t>
      </w:r>
      <w:r>
        <w:t xml:space="preserve"> </w:t>
      </w:r>
      <w:r>
        <w:t xml:space="preserve">phylogenies. Instead, we summarize their likelihood support relative to the ML</w:t>
      </w:r>
      <w:r>
        <w:t xml:space="preserve"> </w:t>
      </w:r>
      <w:r>
        <w:t xml:space="preserve">tree, with SH p-values and RF distances as secondary checks</w:t>
      </w:r>
      <w:r>
        <w:t xml:space="preserve"> </w:t>
      </w:r>
      <w:r>
        <w:t xml:space="preserve">(</w:t>
      </w:r>
      <w:hyperlink w:anchor="tbl-tree-comparison">
        <w:r>
          <w:rPr>
            <w:rStyle w:val="Hyperlink"/>
          </w:rPr>
          <w:t xml:space="preserve">Table 3</w:t>
        </w:r>
      </w:hyperlink>
      <w:r>
        <w:t xml:space="preserve">). For the H1N1 strains, the temporal and cartographic</w:t>
      </w:r>
      <w:r>
        <w:t xml:space="preserve"> </w:t>
      </w:r>
      <w:r>
        <w:t xml:space="preserve">distance trees had larger decreases in log likelihood than the Grantham and</w:t>
      </w:r>
      <w:r>
        <w:t xml:space="preserve"> </w:t>
      </w:r>
      <m:oMath>
        <m:r>
          <m:t>p</m:t>
        </m:r>
      </m:oMath>
      <w:r>
        <w:t xml:space="preserve">-Epitope distance trees. For the H3N2 strains, the cartographic tree had the</w:t>
      </w:r>
      <w:r>
        <w:t xml:space="preserve"> </w:t>
      </w:r>
      <w:r>
        <w:t xml:space="preserve">largest likelihood decrease, while the temporal and Grantham distance trees</w:t>
      </w:r>
      <w:r>
        <w:t xml:space="preserve"> </w:t>
      </w:r>
      <w:r>
        <w:t xml:space="preserve">remained closer to the ML tree. The temporal distance tree was therefore much</w:t>
      </w:r>
      <w:r>
        <w:t xml:space="preserve"> </w:t>
      </w:r>
      <w:r>
        <w:t xml:space="preserve">less compatible with the sequence alignment for H1N1 than for H3N2, consistent</w:t>
      </w:r>
      <w:r>
        <w:t xml:space="preserve"> </w:t>
      </w:r>
      <w:r>
        <w:t xml:space="preserve">with the subtype-specific temporal patterns above. ML-tree branch support and</w:t>
      </w:r>
      <w:r>
        <w:t xml:space="preserve"> </w:t>
      </w:r>
      <w:r>
        <w:t xml:space="preserve">bootstrap topology-stability summaries are reported in the supplement as</w:t>
      </w:r>
      <w:r>
        <w:t xml:space="preserve"> </w:t>
      </w:r>
      <w:r>
        <w:t xml:space="preserve">robustness diagnostics; those values should be interpreted from full-mode</w:t>
      </w:r>
      <w:r>
        <w:t xml:space="preserve"> </w:t>
      </w:r>
      <w:r>
        <w:t xml:space="preserve">pipeline outputs rather than reduced test-mode runs.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tree-comparis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Distance-tree likelihood comparison against the optimized ML tree. Delta log likelihood is the decrease in log likelihood from the ML tree. SH p-values and RF distances are secondary topology checks.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2160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Tree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ML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1160.4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-4629.2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-3468.8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-3498.0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-3547.6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-3863.9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-3288.5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-3129.8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-3147.4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384.0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-3452.4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</w:tr>
          </w:tbl>
          <w:bookmarkEnd w:id="35"/>
        </w:tc>
      </w:tr>
    </w:tbl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Many papers still use the temporal method for calculating antigenic distance.</w:t>
      </w:r>
      <w:r>
        <w:t xml:space="preserve"> </w:t>
      </w:r>
      <w:r>
        <w:t xml:space="preserve">However, temporal distance was not equally informative across subtypes: it was</w:t>
      </w:r>
      <w:r>
        <w:t xml:space="preserve"> </w:t>
      </w:r>
      <w:r>
        <w:t xml:space="preserve">similar to ML-tree distance for H3N2 but performed poorly for H1N1.</w:t>
      </w:r>
      <w:r>
        <w:t xml:space="preserve"> </w:t>
      </w:r>
      <w:r>
        <w:t xml:space="preserve">The Grantham and</w:t>
      </w:r>
      <w:r>
        <w:t xml:space="preserve"> </w:t>
      </w:r>
      <m:oMath>
        <m:r>
          <m:t>p</m:t>
        </m:r>
      </m:oMath>
      <w:r>
        <w:t xml:space="preserve">-Epitope distances provide complementary sequence-derived</w:t>
      </w:r>
      <w:r>
        <w:t xml:space="preserve"> </w:t>
      </w:r>
      <w:r>
        <w:t xml:space="preserve">comparisons because Grantham weights amino-acid substitutions by</w:t>
      </w:r>
      <w:r>
        <w:t xml:space="preserve"> </w:t>
      </w:r>
      <w:r>
        <w:t xml:space="preserve">physicochemical difference, while</w:t>
      </w:r>
      <w:r>
        <w:t xml:space="preserve"> </w:t>
      </w:r>
      <m:oMath>
        <m:r>
          <m:t>p</m:t>
        </m:r>
      </m:oMath>
      <w:r>
        <w:t xml:space="preserve">-Epitope distance focuses on dominant</w:t>
      </w:r>
      <w:r>
        <w:t xml:space="preserve"> </w:t>
      </w:r>
      <w:r>
        <w:t xml:space="preserve">epitope-level mismatch.</w:t>
      </w:r>
    </w:p>
    <w:p>
      <w:pPr>
        <w:pStyle w:val="BodyText"/>
      </w:pPr>
      <w:r>
        <w:t xml:space="preserve">The cartographic distance tree was substantially different from the ML tree for</w:t>
      </w:r>
      <w:r>
        <w:t xml:space="preserve"> </w:t>
      </w:r>
      <w:r>
        <w:t xml:space="preserve">both H1N1 and H3N2. Since cartographic distance is based on observed immune</w:t>
      </w:r>
      <w:r>
        <w:t xml:space="preserve"> </w:t>
      </w:r>
      <w:r>
        <w:t xml:space="preserve">response data, this implies that the hemagglutinin</w:t>
      </w:r>
      <w:r>
        <w:t xml:space="preserve"> </w:t>
      </w:r>
      <w:r>
        <w:t xml:space="preserve">sequence is not the only factor in determining individual immune responses. Our</w:t>
      </w:r>
      <w:r>
        <w:t xml:space="preserve"> </w:t>
      </w:r>
      <w:r>
        <w:t xml:space="preserve">sample is likely not representative, so similar analyses should be repeated on</w:t>
      </w:r>
      <w:r>
        <w:t xml:space="preserve"> </w:t>
      </w:r>
      <w:r>
        <w:t xml:space="preserve">other cohorts. Performing similar analyses using neuraminidase sequence and</w:t>
      </w:r>
      <w:r>
        <w:t xml:space="preserve"> </w:t>
      </w:r>
      <w:r>
        <w:t xml:space="preserve">inhibition data would complete our findings well.</w:t>
      </w:r>
    </w:p>
    <w:p>
      <w:pPr>
        <w:pStyle w:val="BodyText"/>
      </w:pPr>
      <w:r>
        <w:t xml:space="preserve">Overall we find that temporal distance should be interpreted cautiously because</w:t>
      </w:r>
      <w:r>
        <w:t xml:space="preserve"> </w:t>
      </w:r>
      <w:r>
        <w:t xml:space="preserve">it depends on subtype-specific evolutionary history. Additionally, the genetic</w:t>
      </w:r>
      <w:r>
        <w:t xml:space="preserve"> </w:t>
      </w:r>
      <w:r>
        <w:t xml:space="preserve">distance between influenza strains does not match the cartographic difference</w:t>
      </w:r>
      <w:r>
        <w:t xml:space="preserve"> </w:t>
      </w:r>
      <w:r>
        <w:t xml:space="preserve">from observed immune response data, indicating that genetic and antigenic</w:t>
      </w:r>
      <w:r>
        <w:t xml:space="preserve"> </w:t>
      </w:r>
      <w:r>
        <w:t xml:space="preserve">evolution do not always agree.</w:t>
      </w:r>
    </w:p>
    <w:bookmarkEnd w:id="37"/>
    <w:bookmarkStart w:id="38" w:name="acknowledgement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We acknowledge the contributions of the following individuals to this work and</w:t>
      </w:r>
      <w:r>
        <w:t xml:space="preserve"> </w:t>
      </w:r>
      <w:r>
        <w:t xml:space="preserve">other underlying work (in alphabetical order): Justin Bahl, Lambodhar Damodaran,</w:t>
      </w:r>
      <w:r>
        <w:t xml:space="preserve"> </w:t>
      </w:r>
      <w:r>
        <w:t xml:space="preserve">Yang Ge, Savannah Hammerton, Andreas Handel, Ted Ross, Ye Shen, Amanda</w:t>
      </w:r>
      <w:r>
        <w:t xml:space="preserve"> </w:t>
      </w:r>
      <w:r>
        <w:t xml:space="preserve">Skarlupka, Meng-Hsuan Sung. This work would not have been possible without the</w:t>
      </w:r>
      <w:r>
        <w:t xml:space="preserve"> </w:t>
      </w:r>
      <w:r>
        <w:t xml:space="preserve">contributions of many software developers and methodologists who remain uncited</w:t>
      </w:r>
      <w:r>
        <w:t xml:space="preserve"> </w:t>
      </w:r>
      <w:r>
        <w:t xml:space="preserve">due to the 15 citation limit. Finally, we thank the University of Georgia</w:t>
      </w:r>
      <w:r>
        <w:t xml:space="preserve"> </w:t>
      </w:r>
      <w:r>
        <w:t xml:space="preserve">graduate school for providing funding.</w:t>
      </w:r>
    </w:p>
    <w:bookmarkEnd w:id="38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40" w:name="ref-kim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Kim H, Webster RG, Webby RJ. Influenza</w:t>
      </w:r>
      <w:r>
        <w:t xml:space="preserve"> </w:t>
      </w:r>
      <w:r>
        <w:t xml:space="preserve">Virus</w:t>
      </w:r>
      <w:r>
        <w:t xml:space="preserve">:</w:t>
      </w:r>
      <w:r>
        <w:t xml:space="preserve"> </w:t>
      </w:r>
      <w:r>
        <w:t xml:space="preserve">Dealing</w:t>
      </w:r>
      <w:r>
        <w:t xml:space="preserve"> </w:t>
      </w:r>
      <w:r>
        <w:t xml:space="preserve">with a</w:t>
      </w:r>
      <w:r>
        <w:t xml:space="preserve"> </w:t>
      </w:r>
      <w:r>
        <w:t xml:space="preserve">Drifting</w:t>
      </w:r>
      <w:r>
        <w:t xml:space="preserve"> </w:t>
      </w:r>
      <w:r>
        <w:t xml:space="preserve">and</w:t>
      </w:r>
      <w:r>
        <w:t xml:space="preserve"> </w:t>
      </w:r>
      <w:r>
        <w:t xml:space="preserve">Shifting Pathogen</w:t>
      </w:r>
      <w:r>
        <w:t xml:space="preserve">. Viral Immunology. 2018;31: 174–183. doi:</w:t>
      </w:r>
      <w:hyperlink r:id="rId39">
        <w:r>
          <w:rPr>
            <w:rStyle w:val="Hyperlink"/>
          </w:rPr>
          <w:t xml:space="preserve">10.1089/vim.2017.0141</w:t>
        </w:r>
      </w:hyperlink>
    </w:p>
    <w:bookmarkEnd w:id="40"/>
    <w:bookmarkStart w:id="42" w:name="ref-erbelding201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Erbelding EJ, Post DJ, Stemmy EJ, Roberts PC, Augustine AD, Ferguson S, et al. A</w:t>
      </w:r>
      <w:r>
        <w:t xml:space="preserve"> </w:t>
      </w:r>
      <w:r>
        <w:t xml:space="preserve">Universal Influenza Vaccine</w:t>
      </w:r>
      <w:r>
        <w:t xml:space="preserve">:</w:t>
      </w:r>
      <w:r>
        <w:t xml:space="preserve"> </w:t>
      </w:r>
      <w:r>
        <w:t xml:space="preserve">The Strategic Plan</w:t>
      </w:r>
      <w:r>
        <w:t xml:space="preserve"> </w:t>
      </w:r>
      <w:r>
        <w:t xml:space="preserve">for the</w:t>
      </w:r>
      <w:r>
        <w:t xml:space="preserve"> </w:t>
      </w:r>
      <w:r>
        <w:t xml:space="preserve">National Institute</w:t>
      </w:r>
      <w:r>
        <w:t xml:space="preserve"> </w:t>
      </w:r>
      <w:r>
        <w:t xml:space="preserve">of</w:t>
      </w:r>
      <w:r>
        <w:t xml:space="preserve"> </w:t>
      </w:r>
      <w:r>
        <w:t xml:space="preserve">Allergy</w:t>
      </w:r>
      <w:r>
        <w:t xml:space="preserve"> </w:t>
      </w:r>
      <w:r>
        <w:t xml:space="preserve">and</w:t>
      </w:r>
      <w:r>
        <w:t xml:space="preserve"> </w:t>
      </w:r>
      <w:r>
        <w:t xml:space="preserve">Infectious Diseases</w:t>
      </w:r>
      <w:r>
        <w:t xml:space="preserve">. The Journal of Infectious Diseases. 2018;218: 347–354. doi:</w:t>
      </w:r>
      <w:hyperlink r:id="rId41">
        <w:r>
          <w:rPr>
            <w:rStyle w:val="Hyperlink"/>
          </w:rPr>
          <w:t xml:space="preserve">10.1093/infdis/jiy103</w:t>
        </w:r>
      </w:hyperlink>
    </w:p>
    <w:bookmarkEnd w:id="42"/>
    <w:bookmarkStart w:id="44" w:name="ref-viboud2020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Viboud C, Gostic K, Nelson MI, Price GE, Perofsky A, Sun K, et al. Beyond clinical trials:</w:t>
      </w:r>
      <w:r>
        <w:t xml:space="preserve"> </w:t>
      </w:r>
      <w:r>
        <w:t xml:space="preserve">Evolutionary</w:t>
      </w:r>
      <w:r>
        <w:t xml:space="preserve"> </w:t>
      </w:r>
      <w:r>
        <w:t xml:space="preserve">and epidemiological considerations for development of a universal influenza vaccine. PLoS pathogens. 2020;16: e1008583. doi:</w:t>
      </w:r>
      <w:hyperlink r:id="rId43">
        <w:r>
          <w:rPr>
            <w:rStyle w:val="Hyperlink"/>
          </w:rPr>
          <w:t xml:space="preserve">10.1371/journal.ppat.1008583</w:t>
        </w:r>
      </w:hyperlink>
    </w:p>
    <w:bookmarkEnd w:id="44"/>
    <w:bookmarkStart w:id="46" w:name="ref-durviaux201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Durviaux S, Treanor J, Beran J, Duval X, Esen M, Feldman G, et al. Genetic and</w:t>
      </w:r>
      <w:r>
        <w:t xml:space="preserve"> </w:t>
      </w:r>
      <w:r>
        <w:t xml:space="preserve">Antigenic Typing</w:t>
      </w:r>
      <w:r>
        <w:t xml:space="preserve"> </w:t>
      </w:r>
      <w:r>
        <w:t xml:space="preserve">of</w:t>
      </w:r>
      <w:r>
        <w:t xml:space="preserve"> </w:t>
      </w:r>
      <w:r>
        <w:t xml:space="preserve">Seasonal Influenza Virus Breakthrough Cases</w:t>
      </w:r>
      <w:r>
        <w:t xml:space="preserve"> </w:t>
      </w:r>
      <w:r>
        <w:t xml:space="preserve">from a 2008-2009</w:t>
      </w:r>
      <w:r>
        <w:t xml:space="preserve"> </w:t>
      </w:r>
      <w:r>
        <w:t xml:space="preserve">Vaccine Efficacy Trial</w:t>
      </w:r>
      <w:r>
        <w:t xml:space="preserve">. Clinical and Vaccine Immunology. 2014;21: 271–279. doi:</w:t>
      </w:r>
      <w:hyperlink r:id="rId45">
        <w:r>
          <w:rPr>
            <w:rStyle w:val="Hyperlink"/>
          </w:rPr>
          <w:t xml:space="preserve">10.1128/CVI.00544-13</w:t>
        </w:r>
      </w:hyperlink>
    </w:p>
    <w:bookmarkEnd w:id="46"/>
    <w:bookmarkStart w:id="48" w:name="ref-grantham197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Grantham R. Amino acid difference formula to help explain protein evolution. Science. 1974;185: 862–864. doi:</w:t>
      </w:r>
      <w:hyperlink r:id="rId47">
        <w:r>
          <w:rPr>
            <w:rStyle w:val="Hyperlink"/>
          </w:rPr>
          <w:t xml:space="preserve">10.1126/science.185.4154.862</w:t>
        </w:r>
      </w:hyperlink>
    </w:p>
    <w:bookmarkEnd w:id="48"/>
    <w:bookmarkStart w:id="50" w:name="ref-gupta2006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Gupta V, Earl DJ, Deem MW. Quantifying influenza vaccine efficacy and antigenic distance. Vaccine. 2006;24: 3881–3888. doi:</w:t>
      </w:r>
      <w:hyperlink r:id="rId49">
        <w:r>
          <w:rPr>
            <w:rStyle w:val="Hyperlink"/>
          </w:rPr>
          <w:t xml:space="preserve">10.1016/j.vaccine.2006.01.010</w:t>
        </w:r>
      </w:hyperlink>
    </w:p>
    <w:bookmarkEnd w:id="50"/>
    <w:bookmarkStart w:id="52" w:name="ref-fonville2016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Fonville JM, Fraaij PLA, de Mutsert G, Wilks SH, van Beek R, Fouchier RAM, et al. Antigenic</w:t>
      </w:r>
      <w:r>
        <w:t xml:space="preserve"> </w:t>
      </w:r>
      <w:r>
        <w:t xml:space="preserve">Maps</w:t>
      </w:r>
      <w:r>
        <w:t xml:space="preserve"> </w:t>
      </w:r>
      <w:r>
        <w:t xml:space="preserve">of</w:t>
      </w:r>
      <w:r>
        <w:t xml:space="preserve"> </w:t>
      </w:r>
      <w:r>
        <w:t xml:space="preserve">Influenza A</w:t>
      </w:r>
      <w:r>
        <w:t xml:space="preserve">(</w:t>
      </w:r>
      <w:r>
        <w:t xml:space="preserve">H3N2</w:t>
      </w:r>
      <w:r>
        <w:t xml:space="preserve">)</w:t>
      </w:r>
      <w:r>
        <w:t xml:space="preserve"> </w:t>
      </w:r>
      <w:r>
        <w:t xml:space="preserve">Produced With Human Antisera Obtained After Primary Infection</w:t>
      </w:r>
      <w:r>
        <w:t xml:space="preserve">. The Journal of Infectious Diseases. 2016;213: 31–38. doi:</w:t>
      </w:r>
      <w:hyperlink r:id="rId51">
        <w:r>
          <w:rPr>
            <w:rStyle w:val="Hyperlink"/>
          </w:rPr>
          <w:t xml:space="preserve">10.1093/infdis/jiv367</w:t>
        </w:r>
      </w:hyperlink>
    </w:p>
    <w:bookmarkEnd w:id="52"/>
    <w:bookmarkStart w:id="54" w:name="ref-nunez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Nuñez IA, Carlock MA, Allen JD, Owino SO, Moehling KK, Nowalk P, et al. Impact of age and pre-existing influenza immune responses in humans receiving split inactivated influenza vaccine on the induction of the breadth of antibodies to influenza</w:t>
      </w:r>
      <w:r>
        <w:t xml:space="preserve"> </w:t>
      </w:r>
      <w:r>
        <w:t xml:space="preserve">A</w:t>
      </w:r>
      <w:r>
        <w:t xml:space="preserve"> </w:t>
      </w:r>
      <w:r>
        <w:t xml:space="preserve">strains. PloS One. 2017;12: e0185666. doi:</w:t>
      </w:r>
      <w:hyperlink r:id="rId53">
        <w:r>
          <w:rPr>
            <w:rStyle w:val="Hyperlink"/>
          </w:rPr>
          <w:t xml:space="preserve">10.1371/journal.pone.0185666</w:t>
        </w:r>
      </w:hyperlink>
    </w:p>
    <w:bookmarkEnd w:id="54"/>
    <w:bookmarkStart w:id="56" w:name="ref-abreu2020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Abreu RB, Clutter EF, Attari S, Sautto GA, Ross TM.</w:t>
      </w:r>
      <w:r>
        <w:t xml:space="preserve"> </w:t>
      </w:r>
      <w:r>
        <w:t xml:space="preserve">IgA Responses Following Recurrent Influenza Virus Vaccination</w:t>
      </w:r>
      <w:r>
        <w:t xml:space="preserve">. Frontiers in Immunology. 2020;11. doi:</w:t>
      </w:r>
      <w:hyperlink r:id="rId55">
        <w:r>
          <w:rPr>
            <w:rStyle w:val="Hyperlink"/>
          </w:rPr>
          <w:t xml:space="preserve">10.3389/fimmu.2020.00902</w:t>
        </w:r>
      </w:hyperlink>
    </w:p>
    <w:bookmarkEnd w:id="56"/>
    <w:bookmarkStart w:id="58" w:name="ref-auladell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Auladell M, Phuong HVM, Mai LTQ, Tseng Y-Y, Carolan L, Wilks S, et al. Influenza virus infection history shapes antibody responses to influenza vaccination. Nature Medicine. 2022;28: 363–372. doi:</w:t>
      </w:r>
      <w:hyperlink r:id="rId57">
        <w:r>
          <w:rPr>
            <w:rStyle w:val="Hyperlink"/>
          </w:rPr>
          <w:t xml:space="preserve">10.1038/s41591-022-01690-w</w:t>
        </w:r>
      </w:hyperlink>
    </w:p>
    <w:bookmarkEnd w:id="58"/>
    <w:bookmarkStart w:id="59" w:name="ref-wilks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Wilks S. Racmacs:</w:t>
      </w:r>
      <w:r>
        <w:t xml:space="preserve"> </w:t>
      </w:r>
      <w:r>
        <w:t xml:space="preserve">Antigenic</w:t>
      </w:r>
      <w:r>
        <w:t xml:space="preserve"> </w:t>
      </w:r>
      <w:r>
        <w:t xml:space="preserve">cartography macros. 2023.</w:t>
      </w:r>
      <w:r>
        <w:t xml:space="preserve"> </w:t>
      </w:r>
    </w:p>
    <w:bookmarkEnd w:id="59"/>
    <w:bookmarkStart w:id="61" w:name="ref-edgar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Edgar RC.</w:t>
      </w:r>
      <w:r>
        <w:t xml:space="preserve"> </w:t>
      </w:r>
      <w:r>
        <w:t xml:space="preserve">MUSCLE</w:t>
      </w:r>
      <w:r>
        <w:t xml:space="preserve">: A multiple sequence alignment method with reduced time and space complexity. BMC Bioinformatics. 2004;5: 113. doi:</w:t>
      </w:r>
      <w:hyperlink r:id="rId60">
        <w:r>
          <w:rPr>
            <w:rStyle w:val="Hyperlink"/>
          </w:rPr>
          <w:t xml:space="preserve">10.1186/1471-2105-5-113</w:t>
        </w:r>
      </w:hyperlink>
    </w:p>
    <w:bookmarkEnd w:id="61"/>
    <w:bookmarkStart w:id="63" w:name="ref-dang2010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62">
        <w:r>
          <w:rPr>
            <w:rStyle w:val="Hyperlink"/>
          </w:rPr>
          <w:t xml:space="preserve">10.1186/1471-2148-10-99</w:t>
        </w:r>
      </w:hyperlink>
    </w:p>
    <w:bookmarkEnd w:id="63"/>
    <w:bookmarkStart w:id="64" w:name="ref-burnham2002model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64"/>
    <w:bookmarkStart w:id="66" w:name="ref-schliep201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Schliep KP. Phangorn: Phylogenetic analysis in</w:t>
      </w:r>
      <w:r>
        <w:t xml:space="preserve"> </w:t>
      </w:r>
      <w:r>
        <w:t xml:space="preserve">R</w:t>
      </w:r>
      <w:r>
        <w:t xml:space="preserve">. Bioinformatics (Oxford, England). 2011;27: 592–593. doi:</w:t>
      </w:r>
      <w:hyperlink r:id="rId65">
        <w:r>
          <w:rPr>
            <w:rStyle w:val="Hyperlink"/>
          </w:rPr>
          <w:t xml:space="preserve">10.1093/bioinformatics/btq706</w:t>
        </w:r>
      </w:hyperlink>
    </w:p>
    <w:bookmarkEnd w:id="66"/>
    <w:bookmarkStart w:id="68" w:name="ref-legendre2010MantelAlternatives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Legendre P, Fortin M-J. Comparison of the mantel test and alternative approaches for detecting complex multivariate relationships in the spatial analysis of genetic data. Molecular Ecology Resources. 2010;10: 831–844. doi:</w:t>
      </w:r>
      <w:hyperlink r:id="rId67">
        <w:r>
          <w:rPr>
            <w:rStyle w:val="Hyperlink"/>
          </w:rPr>
          <w:t xml:space="preserve">10.1111/j.1755-0998.2010.02866.x</w:t>
        </w:r>
      </w:hyperlink>
    </w:p>
    <w:bookmarkEnd w:id="68"/>
    <w:bookmarkStart w:id="70" w:name="ref-legendre2015ShouldMantel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Legendre P, Fortin M-J, Borcard D. Should the mantel test be used in spatial analysis? Methods in Ecology and Evolution. 2015;6: 1239–1247. doi:</w:t>
      </w:r>
      <w:hyperlink r:id="rId69">
        <w:r>
          <w:rPr>
            <w:rStyle w:val="Hyperlink"/>
          </w:rPr>
          <w:t xml:space="preserve">10.1111/2041-210X.12425</w:t>
        </w:r>
      </w:hyperlink>
    </w:p>
    <w:bookmarkEnd w:id="70"/>
    <w:bookmarkStart w:id="72" w:name="ref-rubin198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71">
        <w:r>
          <w:rPr>
            <w:rStyle w:val="Hyperlink"/>
          </w:rPr>
          <w:t xml:space="preserve">10.1214/aos/1176345338</w:t>
        </w:r>
      </w:hyperlink>
    </w:p>
    <w:bookmarkEnd w:id="72"/>
    <w:bookmarkStart w:id="74" w:name="ref-saitou1987NeighborJoining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Saitou N, Nei M. The neighbor-joining method: A new method for reconstructing phylogenetic trees. Molecular Biology and Evolution. 1987;4: 406–425. doi:</w:t>
      </w:r>
      <w:hyperlink r:id="rId73">
        <w:r>
          <w:rPr>
            <w:rStyle w:val="Hyperlink"/>
          </w:rPr>
          <w:t xml:space="preserve">10.1093/oxfordjournals.molbev.a040454</w:t>
        </w:r>
      </w:hyperlink>
    </w:p>
    <w:bookmarkEnd w:id="74"/>
    <w:bookmarkStart w:id="76" w:name="ref-shimodaira1999ShTest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75">
        <w:r>
          <w:rPr>
            <w:rStyle w:val="Hyperlink"/>
          </w:rPr>
          <w:t xml:space="preserve">10.1093/oxfordjournals.molbev.a026201</w:t>
        </w:r>
      </w:hyperlink>
    </w:p>
    <w:bookmarkEnd w:id="76"/>
    <w:bookmarkStart w:id="78" w:name="X8b6875512c705bb343382cbd274febad517fdf3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77">
        <w:r>
          <w:rPr>
            <w:rStyle w:val="Hyperlink"/>
          </w:rPr>
          <w:t xml:space="preserve">10.1016/0025-5564(81)90043-2</w:t>
        </w:r>
      </w:hyperlink>
    </w:p>
    <w:bookmarkEnd w:id="78"/>
    <w:bookmarkStart w:id="79" w:name="ref-rcoreteam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R Core Team. R: A language and environment for statistical computing. Vienna, Austria: R Foundation for Statistical Computing; 2024.</w:t>
      </w:r>
      <w:r>
        <w:t xml:space="preserve"> </w:t>
      </w:r>
    </w:p>
    <w:bookmarkEnd w:id="79"/>
    <w:bookmarkStart w:id="81" w:name="ref-bodenhofer201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Bodenhofer U, Bonatesta E, Horejš-Kainrath C, Hochreiter S. Msa: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multiple sequence alignment. Bioinformatics. 2015;31: 3997–3999. doi:</w:t>
      </w:r>
      <w:hyperlink r:id="rId80">
        <w:r>
          <w:rPr>
            <w:rStyle w:val="Hyperlink"/>
          </w:rPr>
          <w:t xml:space="preserve">10.1093/bioinformatics/btv494</w:t>
        </w:r>
      </w:hyperlink>
    </w:p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hyperlink" Id="rId77" Target="https://doi.org/10.1016/0025-5564(81)90043-2" TargetMode="External" /><Relationship Type="http://schemas.openxmlformats.org/officeDocument/2006/relationships/hyperlink" Id="rId49" Target="https://doi.org/10.1016/j.vaccine.2006.01.010" TargetMode="External" /><Relationship Type="http://schemas.openxmlformats.org/officeDocument/2006/relationships/hyperlink" Id="rId57" Target="https://doi.org/10.1038/s41591-022-01690-w" TargetMode="External" /><Relationship Type="http://schemas.openxmlformats.org/officeDocument/2006/relationships/hyperlink" Id="rId39" Target="https://doi.org/10.1089/vim.2017.0141" TargetMode="External" /><Relationship Type="http://schemas.openxmlformats.org/officeDocument/2006/relationships/hyperlink" Id="rId65" Target="https://doi.org/10.1093/bioinformatics/btq706" TargetMode="External" /><Relationship Type="http://schemas.openxmlformats.org/officeDocument/2006/relationships/hyperlink" Id="rId80" Target="https://doi.org/10.1093/bioinformatics/btv494" TargetMode="External" /><Relationship Type="http://schemas.openxmlformats.org/officeDocument/2006/relationships/hyperlink" Id="rId51" Target="https://doi.org/10.1093/infdis/jiv367" TargetMode="External" /><Relationship Type="http://schemas.openxmlformats.org/officeDocument/2006/relationships/hyperlink" Id="rId41" Target="https://doi.org/10.1093/infdis/jiy103" TargetMode="External" /><Relationship Type="http://schemas.openxmlformats.org/officeDocument/2006/relationships/hyperlink" Id="rId75" Target="https://doi.org/10.1093/oxfordjournals.molbev.a026201" TargetMode="External" /><Relationship Type="http://schemas.openxmlformats.org/officeDocument/2006/relationships/hyperlink" Id="rId73" Target="https://doi.org/10.1093/oxfordjournals.molbev.a040454" TargetMode="External" /><Relationship Type="http://schemas.openxmlformats.org/officeDocument/2006/relationships/hyperlink" Id="rId69" Target="https://doi.org/10.1111/2041-210X.12425" TargetMode="External" /><Relationship Type="http://schemas.openxmlformats.org/officeDocument/2006/relationships/hyperlink" Id="rId67" Target="https://doi.org/10.1111/j.1755-0998.2010.02866.x" TargetMode="External" /><Relationship Type="http://schemas.openxmlformats.org/officeDocument/2006/relationships/hyperlink" Id="rId47" Target="https://doi.org/10.1126/science.185.4154.862" TargetMode="External" /><Relationship Type="http://schemas.openxmlformats.org/officeDocument/2006/relationships/hyperlink" Id="rId45" Target="https://doi.org/10.1128/CVI.00544-13" TargetMode="External" /><Relationship Type="http://schemas.openxmlformats.org/officeDocument/2006/relationships/hyperlink" Id="rId60" Target="https://doi.org/10.1186/1471-2105-5-113" TargetMode="External" /><Relationship Type="http://schemas.openxmlformats.org/officeDocument/2006/relationships/hyperlink" Id="rId62" Target="https://doi.org/10.1186/1471-2148-10-99" TargetMode="External" /><Relationship Type="http://schemas.openxmlformats.org/officeDocument/2006/relationships/hyperlink" Id="rId71" Target="https://doi.org/10.1214/aos/1176345338" TargetMode="External" /><Relationship Type="http://schemas.openxmlformats.org/officeDocument/2006/relationships/hyperlink" Id="rId53" Target="https://doi.org/10.1371/journal.pone.0185666" TargetMode="External" /><Relationship Type="http://schemas.openxmlformats.org/officeDocument/2006/relationships/hyperlink" Id="rId43" Target="https://doi.org/10.1371/journal.ppat.1008583" TargetMode="External" /><Relationship Type="http://schemas.openxmlformats.org/officeDocument/2006/relationships/hyperlink" Id="rId55" Target="https://doi.org/10.3389/fimmu.2020.009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doi.org/10.1016/0025-5564(81)90043-2" TargetMode="External" /><Relationship Type="http://schemas.openxmlformats.org/officeDocument/2006/relationships/hyperlink" Id="rId49" Target="https://doi.org/10.1016/j.vaccine.2006.01.010" TargetMode="External" /><Relationship Type="http://schemas.openxmlformats.org/officeDocument/2006/relationships/hyperlink" Id="rId57" Target="https://doi.org/10.1038/s41591-022-01690-w" TargetMode="External" /><Relationship Type="http://schemas.openxmlformats.org/officeDocument/2006/relationships/hyperlink" Id="rId39" Target="https://doi.org/10.1089/vim.2017.0141" TargetMode="External" /><Relationship Type="http://schemas.openxmlformats.org/officeDocument/2006/relationships/hyperlink" Id="rId65" Target="https://doi.org/10.1093/bioinformatics/btq706" TargetMode="External" /><Relationship Type="http://schemas.openxmlformats.org/officeDocument/2006/relationships/hyperlink" Id="rId80" Target="https://doi.org/10.1093/bioinformatics/btv494" TargetMode="External" /><Relationship Type="http://schemas.openxmlformats.org/officeDocument/2006/relationships/hyperlink" Id="rId51" Target="https://doi.org/10.1093/infdis/jiv367" TargetMode="External" /><Relationship Type="http://schemas.openxmlformats.org/officeDocument/2006/relationships/hyperlink" Id="rId41" Target="https://doi.org/10.1093/infdis/jiy103" TargetMode="External" /><Relationship Type="http://schemas.openxmlformats.org/officeDocument/2006/relationships/hyperlink" Id="rId75" Target="https://doi.org/10.1093/oxfordjournals.molbev.a026201" TargetMode="External" /><Relationship Type="http://schemas.openxmlformats.org/officeDocument/2006/relationships/hyperlink" Id="rId73" Target="https://doi.org/10.1093/oxfordjournals.molbev.a040454" TargetMode="External" /><Relationship Type="http://schemas.openxmlformats.org/officeDocument/2006/relationships/hyperlink" Id="rId69" Target="https://doi.org/10.1111/2041-210X.12425" TargetMode="External" /><Relationship Type="http://schemas.openxmlformats.org/officeDocument/2006/relationships/hyperlink" Id="rId67" Target="https://doi.org/10.1111/j.1755-0998.2010.02866.x" TargetMode="External" /><Relationship Type="http://schemas.openxmlformats.org/officeDocument/2006/relationships/hyperlink" Id="rId47" Target="https://doi.org/10.1126/science.185.4154.862" TargetMode="External" /><Relationship Type="http://schemas.openxmlformats.org/officeDocument/2006/relationships/hyperlink" Id="rId45" Target="https://doi.org/10.1128/CVI.00544-13" TargetMode="External" /><Relationship Type="http://schemas.openxmlformats.org/officeDocument/2006/relationships/hyperlink" Id="rId60" Target="https://doi.org/10.1186/1471-2105-5-113" TargetMode="External" /><Relationship Type="http://schemas.openxmlformats.org/officeDocument/2006/relationships/hyperlink" Id="rId62" Target="https://doi.org/10.1186/1471-2148-10-99" TargetMode="External" /><Relationship Type="http://schemas.openxmlformats.org/officeDocument/2006/relationships/hyperlink" Id="rId71" Target="https://doi.org/10.1214/aos/1176345338" TargetMode="External" /><Relationship Type="http://schemas.openxmlformats.org/officeDocument/2006/relationships/hyperlink" Id="rId53" Target="https://doi.org/10.1371/journal.pone.0185666" TargetMode="External" /><Relationship Type="http://schemas.openxmlformats.org/officeDocument/2006/relationships/hyperlink" Id="rId43" Target="https://doi.org/10.1371/journal.ppat.1008583" TargetMode="External" /><Relationship Type="http://schemas.openxmlformats.org/officeDocument/2006/relationships/hyperlink" Id="rId55" Target="https://doi.org/10.3389/fimmu.2020.009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antigenic distance metrics for influenza</dc:title>
  <dc:creator>W. Zane Billings</dc:creator>
  <cp:keywords/>
  <dcterms:created xsi:type="dcterms:W3CDTF">2026-05-31T23:01:33Z</dcterms:created>
  <dcterms:modified xsi:type="dcterms:W3CDTF">2026-05-31T23:01:33Z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Developing universal influenza vaccines will require improved understanding of how influenza variants differ from each other. We find that temporal distances perform poorly overall, but even biophysical and epitope-based sequence distances which match phylogenetic distances well do not match cartographic distances based on actual immune response data.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project-refs.bib</vt:lpwstr>
  </property>
  <property fmtid="{D5CDD505-2E9C-101B-9397-08002B2CF9AE}" pid="6" name="by-author">
    <vt:lpwstr/>
  </property>
  <property fmtid="{D5CDD505-2E9C-101B-9397-08002B2CF9AE}" pid="7" name="csl">
    <vt:lpwstr>plos-computational-biology.csl</vt:lpwstr>
  </property>
  <property fmtid="{D5CDD505-2E9C-101B-9397-08002B2CF9AE}" pid="8" name="date">
    <vt:lpwstr>2026-05-31</vt:lpwstr>
  </property>
  <property fmtid="{D5CDD505-2E9C-101B-9397-08002B2CF9AE}" pid="9" name="date-format">
    <vt:lpwstr>iso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EPID 8200 project</vt:lpwstr>
  </property>
  <property fmtid="{D5CDD505-2E9C-101B-9397-08002B2CF9AE}" pid="16" name="toc-title">
    <vt:lpwstr>Table of contents</vt:lpwstr>
  </property>
</Properties>
</file>