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00"/>
        <w:jc w:val="center"/>
      </w:pPr>
      <w:r>
        <w:rPr>
          <w:rFonts w:ascii="SimHei" w:hAnsi="SimHei" w:eastAsia="SimHei"/>
          <w:b/>
          <w:color w:val="000000"/>
          <w:sz w:val="32"/>
        </w:rPr>
        <w:t>玩家管理模块用例表</w:t>
      </w:r>
    </w:p>
    <w:p>
      <w:pPr>
        <w:spacing w:before="160" w:after="100"/>
        <w:jc w:val="center"/>
      </w:pPr>
      <w:r>
        <w:rPr>
          <w:rFonts w:ascii="SimHei" w:hAnsi="SimHei" w:eastAsia="SimHei"/>
          <w:b/>
          <w:sz w:val="22"/>
        </w:rPr>
        <w:t>表3-2 玩家管理模块用例表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87"/>
        <w:gridCol w:w="7087"/>
        <w:gridCol w:w="7087"/>
        <w:gridCol w:w="7087"/>
        <w:gridCol w:w="7087"/>
        <w:gridCol w:w="7087"/>
      </w:tblGrid>
      <w:tr>
        <w:trPr>
          <w:trHeight w:val="454"/>
        </w:trPr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用例编号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用例名称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参与者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前置条件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后置条件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主要流程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UC-2-01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查看玩家列表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显示所有玩家列表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1.进入玩家管理页面；2.系统查询玩家数据；3.分页展示玩家列表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UC-2-02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搜索玩家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显示匹配的玩家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1.输入搜索关键词；2.选择搜索条件；3.系统执行搜索；4.展示搜索结果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UC-2-03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查看玩家详情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显示玩家详细信息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1.选择目标玩家；2.点击查看详情；3.系统查询玩家详细信息；4.展示玩家详情页面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UC-2-04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修改风险评分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更新玩家风险评分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1.选择目标玩家；2.输入新的风险评分；3.确认修改；4.系统更新风险评分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UC-2-05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删除玩家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从系统中移除玩家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1.选择目标玩家；2.点击删除按钮；3.确认删除操作；4.系统删除玩家记录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UC-2-06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按风险等级筛选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显示指定风险等级的玩家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1.选择风险等级；2.系统筛选玩家；3.展示筛选结果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UC-2-07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查看玩家历史记录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显示玩家历史作弊和封禁记录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1.选择目标玩家；2.点击查看历史；3.系统查询历史记录；4.展示历史记录列表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UC-2-08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导出玩家数据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生成玩家数据文件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1.选择导出范围；2.点击导出按钮；3.系统生成数据文件；4.下载导出文件</w:t>
            </w:r>
          </w:p>
        </w:tc>
      </w:tr>
    </w:tbl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