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  <w:jc w:val="center"/>
      </w:pPr>
      <w:r>
        <w:rPr>
          <w:rFonts w:ascii="SimHei" w:hAnsi="SimHei" w:eastAsia="SimHei"/>
          <w:b/>
          <w:color w:val="000000"/>
          <w:sz w:val="32"/>
        </w:rPr>
        <w:t>作弊检测模块用例表</w:t>
      </w:r>
    </w:p>
    <w:p>
      <w:pPr>
        <w:spacing w:before="160" w:after="100"/>
        <w:jc w:val="center"/>
      </w:pPr>
      <w:r>
        <w:rPr>
          <w:rFonts w:ascii="SimHei" w:hAnsi="SimHei" w:eastAsia="SimHei"/>
          <w:b/>
          <w:sz w:val="22"/>
        </w:rPr>
        <w:t>表3-3 作弊检测模块用例表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87"/>
        <w:gridCol w:w="7087"/>
        <w:gridCol w:w="7087"/>
        <w:gridCol w:w="7087"/>
        <w:gridCol w:w="7087"/>
        <w:gridCol w:w="7087"/>
      </w:tblGrid>
      <w:tr>
        <w:trPr>
          <w:trHeight w:val="454"/>
        </w:trPr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用例编号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用例名称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参与者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前置条件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后置条件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主要流程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UC-3-01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查看作弊记录列表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显示所有作弊记录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1.进入作弊记录页面；2.系统查询作弊数据；3.分页展示作弊记录列表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UC-3-02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搜索作弊记录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显示匹配的作弊记录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1.输入搜索条件；2.系统执行搜索；3.展示搜索结果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UC-3-03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查看作弊详情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显示作弊详细信息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1.选择作弊记录；2.点击查看详情；3.系统展示作弊详情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UC-3-04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按作弊类型筛选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显示指定类型的作弊记录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1.选择作弊类型；2.系统筛选记录；3.展示筛选结果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UC-3-05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按时间范围筛选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显示指定时间范围的作弊记录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1.选择时间范围；2.系统筛选记录；3.展示筛选结果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UC-3-06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实时告警接收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管理员已登录，WebSocket已连接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显示实时作弊告警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1.系统接收作弊数据；2.推送告警到前端；3.前端显示告警通知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UC-3-07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作弊统计分析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显示作弊统计数据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1.进入统计页面；2.系统计算统计数据；3.展示统计图表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UC-3-08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删除作弊记录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删除指定作弊记录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1.选择作弊记录；2.点击删除按钮；3.确认删除；4.系统删除记录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