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143A0E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交能融合相关文献</w:t>
      </w:r>
    </w:p>
    <w:p w14:paraId="6DF66C65">
      <w:pPr>
        <w:bidi w:val="0"/>
        <w:rPr>
          <w:rFonts w:hint="default" w:eastAsia="宋体"/>
          <w:lang w:val="en-US" w:eastAsia="zh-CN"/>
        </w:rPr>
      </w:pPr>
      <w:r>
        <w:t>提出了适用于不同地域特点的公路交通自洽微网系统规划方法，为实现公路能源自给、提升可再生能源利用率提供了理论与技术支撑。</w:t>
      </w:r>
      <w:r>
        <w:rPr>
          <w:rFonts w:hint="eastAsia"/>
          <w:lang w:val="en-US" w:eastAsia="zh-CN"/>
        </w:rPr>
        <w:t>比较综合，是较为宏观的规划。</w:t>
      </w:r>
    </w:p>
    <w:p w14:paraId="652E157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4208145"/>
            <wp:effectExtent l="0" t="0" r="0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20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69844D"/>
    <w:p w14:paraId="2BEE4A8F"/>
    <w:p w14:paraId="0DDCA747">
      <w:pPr>
        <w:rPr>
          <w:rFonts w:hint="eastAsia"/>
          <w:lang w:val="en-US" w:eastAsia="zh-CN"/>
        </w:rPr>
      </w:pPr>
    </w:p>
    <w:p w14:paraId="28E729A4">
      <w:pPr>
        <w:rPr>
          <w:rFonts w:hint="eastAsia"/>
          <w:lang w:val="en-US" w:eastAsia="zh-CN"/>
        </w:rPr>
      </w:pPr>
    </w:p>
    <w:p w14:paraId="6963FBF8">
      <w:pPr>
        <w:rPr>
          <w:rFonts w:hint="eastAsia"/>
          <w:lang w:val="en-US" w:eastAsia="zh-CN"/>
        </w:rPr>
      </w:pPr>
    </w:p>
    <w:p w14:paraId="295AB993">
      <w:pPr>
        <w:rPr>
          <w:rFonts w:hint="eastAsia"/>
          <w:lang w:val="en-US" w:eastAsia="zh-CN"/>
        </w:rPr>
      </w:pPr>
    </w:p>
    <w:p w14:paraId="4820E5FA">
      <w:pPr>
        <w:rPr>
          <w:rFonts w:hint="eastAsia"/>
          <w:lang w:val="en-US" w:eastAsia="zh-CN"/>
        </w:rPr>
      </w:pPr>
    </w:p>
    <w:p w14:paraId="5BB59675">
      <w:pPr>
        <w:rPr>
          <w:rFonts w:hint="eastAsia"/>
          <w:lang w:val="en-US" w:eastAsia="zh-CN"/>
        </w:rPr>
      </w:pPr>
    </w:p>
    <w:p w14:paraId="35695D07">
      <w:pPr>
        <w:ind w:left="0" w:leftChars="0" w:firstLine="0" w:firstLineChars="0"/>
        <w:rPr>
          <w:rFonts w:hint="eastAsia"/>
          <w:lang w:val="en-US" w:eastAsia="zh-CN"/>
        </w:rPr>
      </w:pPr>
    </w:p>
    <w:p w14:paraId="24CC60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港口和公路的用能和发电结合，海上发电机发电，有蓄电池储能。</w:t>
      </w:r>
    </w:p>
    <w:p w14:paraId="61F29D97">
      <w:r>
        <w:drawing>
          <wp:inline distT="0" distB="0" distL="114300" distR="114300">
            <wp:extent cx="5271135" cy="3805555"/>
            <wp:effectExtent l="0" t="0" r="1206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0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EA3A2">
      <w:r>
        <w:drawing>
          <wp:inline distT="0" distB="0" distL="114300" distR="114300">
            <wp:extent cx="5273040" cy="3328035"/>
            <wp:effectExtent l="0" t="0" r="10160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2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BFBF5B"/>
    <w:p w14:paraId="665F986C">
      <w:pPr>
        <w:rPr>
          <w:rFonts w:hint="eastAsia"/>
          <w:lang w:val="en-US" w:eastAsia="zh-CN"/>
        </w:rPr>
      </w:pPr>
    </w:p>
    <w:p w14:paraId="5CEA3E81">
      <w:pPr>
        <w:rPr>
          <w:rFonts w:hint="eastAsia"/>
          <w:lang w:val="en-US" w:eastAsia="zh-CN"/>
        </w:rPr>
      </w:pPr>
    </w:p>
    <w:p w14:paraId="6181F2DB">
      <w:pPr>
        <w:rPr>
          <w:rFonts w:hint="eastAsia"/>
          <w:lang w:val="en-US" w:eastAsia="zh-CN"/>
        </w:rPr>
      </w:pPr>
    </w:p>
    <w:p w14:paraId="01087997">
      <w:r>
        <w:rPr>
          <w:rFonts w:hint="eastAsia"/>
          <w:lang w:val="en-US" w:eastAsia="zh-CN"/>
        </w:rPr>
        <w:t>这篇是和港口发电消纳相关的方法策略优化。</w:t>
      </w:r>
    </w:p>
    <w:p w14:paraId="49789902">
      <w:r>
        <w:drawing>
          <wp:inline distT="0" distB="0" distL="114300" distR="114300">
            <wp:extent cx="5273675" cy="4782820"/>
            <wp:effectExtent l="0" t="0" r="9525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78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DE1DF">
      <w:pPr>
        <w:rPr>
          <w:rFonts w:hint="default" w:eastAsia="宋体"/>
          <w:lang w:val="en-US" w:eastAsia="zh-CN"/>
        </w:rPr>
      </w:pPr>
    </w:p>
    <w:p w14:paraId="75A9A734">
      <w:r>
        <w:drawing>
          <wp:inline distT="0" distB="0" distL="114300" distR="114300">
            <wp:extent cx="5266690" cy="3095625"/>
            <wp:effectExtent l="0" t="0" r="381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9E23F">
      <w:r>
        <w:drawing>
          <wp:inline distT="0" distB="0" distL="114300" distR="114300">
            <wp:extent cx="5265420" cy="4116070"/>
            <wp:effectExtent l="0" t="0" r="5080" b="1143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116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D8DEC"/>
    <w:p w14:paraId="10D88DBD">
      <w:pPr>
        <w:rPr>
          <w:rFonts w:hint="eastAsia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184628"/>
    <w:rsid w:val="05476D0D"/>
    <w:rsid w:val="13CD403F"/>
    <w:rsid w:val="2ECA77E3"/>
    <w:rsid w:val="38184628"/>
    <w:rsid w:val="4EB14C0F"/>
    <w:rsid w:val="4ECC61A8"/>
    <w:rsid w:val="54D52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ind w:firstLine="480" w:firstLineChars="200"/>
    </w:pPr>
    <w:rPr>
      <w:rFonts w:ascii="Times New Roman" w:hAnsi="Times New Roman" w:eastAsia="宋体" w:cstheme="minorBidi"/>
      <w:sz w:val="24"/>
      <w:szCs w:val="24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Times New Roman" w:hAnsi="Times New Roman"/>
      <w:b/>
      <w:kern w:val="44"/>
      <w:sz w:val="32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宋体"/>
      <w:b/>
      <w:sz w:val="28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rFonts w:ascii="Times New Roman" w:hAnsi="Times New Roman" w:eastAsia="宋体"/>
      <w:b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2025-11-05T14:01:00Z</dcterms:created>
  <dc:creator>刘</dc:creator>
  <cp:lastModifiedBy>刘</cp:lastModifiedBy>
  <dcterms:modified xsi:type="dcterms:W3CDTF">2025-11-05T14:19:36Z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AA77AA28B1EC4085A744DE9AE051EE5C_11</vt:lpwstr>
  </property>
  <property fmtid="{D5CDD505-2E9C-101B-9397-08002B2CF9AE}" pid="4" name="KSOTemplateDocerSaveRecord">
    <vt:lpwstr>eyJoZGlkIjoiNTQ2NTJiYmY1NTM3NzE3N2M1OGFiZDkzOGFhNzE3YmUiLCJ1c2VySWQiOiI4Mjk1MjUzMTAifQ==</vt:lpwstr>
  </property>
</Properties>
</file>