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FB39E">
      <w:pPr>
        <w:tabs>
          <w:tab w:val="left" w:pos="640"/>
        </w:tabs>
        <w:ind w:firstLine="640"/>
        <w:jc w:val="center"/>
        <w:rPr>
          <w:rFonts w:eastAsia="黑体" w:cs="Times New Roman"/>
          <w:bCs/>
          <w:sz w:val="30"/>
          <w:szCs w:val="30"/>
        </w:rPr>
      </w:pPr>
      <w:bookmarkStart w:id="0" w:name="_Toc534577503"/>
      <w:bookmarkStart w:id="1" w:name="_Toc534578170"/>
      <w:bookmarkStart w:id="2" w:name="_Toc534576816"/>
      <w:r>
        <w:rPr>
          <w:rFonts w:eastAsia="黑体" w:cs="Times New Roman"/>
          <w:bCs/>
          <w:sz w:val="32"/>
          <w:szCs w:val="32"/>
        </w:rPr>
        <w:t>《电网课程设计》任务书（十</w:t>
      </w:r>
      <w:r>
        <w:rPr>
          <w:rFonts w:hint="eastAsia" w:eastAsia="黑体" w:cs="Times New Roman"/>
          <w:bCs/>
          <w:sz w:val="32"/>
          <w:szCs w:val="32"/>
          <w:lang w:val="en-US" w:eastAsia="zh-CN"/>
        </w:rPr>
        <w:t>五</w:t>
      </w:r>
      <w:r>
        <w:rPr>
          <w:rFonts w:eastAsia="黑体" w:cs="Times New Roman"/>
          <w:bCs/>
          <w:sz w:val="32"/>
          <w:szCs w:val="32"/>
        </w:rPr>
        <w:t>）</w:t>
      </w:r>
    </w:p>
    <w:p w14:paraId="73F12AE4">
      <w:pPr>
        <w:pStyle w:val="2"/>
        <w:keepNext w:val="0"/>
        <w:keepLines w:val="0"/>
        <w:spacing w:before="0"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1原始数据</w:t>
      </w:r>
    </w:p>
    <w:p w14:paraId="23D15258">
      <w:pPr>
        <w:pStyle w:val="2"/>
        <w:keepNext w:val="0"/>
        <w:keepLines w:val="0"/>
        <w:spacing w:before="0"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1.1发电厂、变电所相对地理位置及距离</w:t>
      </w:r>
      <w:bookmarkEnd w:id="0"/>
      <w:bookmarkEnd w:id="1"/>
      <w:bookmarkEnd w:id="2"/>
    </w:p>
    <w:p w14:paraId="399E2C7C">
      <w:pPr>
        <w:ind w:firstLine="480"/>
        <w:rPr>
          <w:rFonts w:cs="Times New Roman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发电厂、变电所相对地理位置及距离如图1.1所示。（单位：</w:t>
      </w:r>
      <w:r>
        <w:rPr>
          <w:rStyle w:val="10"/>
          <w:rFonts w:ascii="Times New Roman" w:hAnsi="Times New Roman" w:cs="Times New Roman"/>
          <w:sz w:val="24"/>
          <w:szCs w:val="24"/>
        </w:rPr>
        <w:t>km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）</w:t>
      </w:r>
    </w:p>
    <w:p w14:paraId="617B85F8">
      <w:pPr>
        <w:ind w:firstLine="480"/>
        <w:jc w:val="center"/>
        <w:rPr>
          <w:rFonts w:eastAsia="黑体" w:cs="Times New Roman"/>
        </w:rPr>
      </w:pPr>
      <w:r>
        <w:rPr>
          <w:rFonts w:cs="Times New Roman"/>
        </w:rPr>
        <w:object>
          <v:shape id="_x0000_i1025" o:spt="75" type="#_x0000_t75" style="height:164.4pt;width:237.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22053711">
      <w:pPr>
        <w:ind w:firstLine="420"/>
        <w:jc w:val="center"/>
        <w:rPr>
          <w:rFonts w:cs="Times New Roman"/>
          <w:color w:val="000000"/>
          <w:sz w:val="21"/>
          <w:szCs w:val="21"/>
        </w:rPr>
      </w:pPr>
      <w:r>
        <w:rPr>
          <w:rFonts w:cs="Times New Roman"/>
          <w:color w:val="000000"/>
          <w:sz w:val="21"/>
          <w:szCs w:val="21"/>
        </w:rPr>
        <w:t>图1.1 发电厂、变电所相对地理位置及距离</w:t>
      </w:r>
    </w:p>
    <w:p w14:paraId="7B097BC6">
      <w:pPr>
        <w:ind w:firstLine="480"/>
        <w:rPr>
          <w:rFonts w:cs="Times New Roman"/>
        </w:rPr>
      </w:pPr>
      <w:r>
        <w:rPr>
          <w:rFonts w:cs="Times New Roman"/>
        </w:rPr>
        <w:t>图中，S为无穷大电源系统，A为待建火力发电厂，1</w:t>
      </w:r>
      <w:r>
        <w:rPr>
          <w:rFonts w:hint="eastAsia" w:cs="Times New Roman"/>
        </w:rPr>
        <w:t>、2</w:t>
      </w:r>
      <w:r>
        <w:rPr>
          <w:rFonts w:cs="Times New Roman"/>
        </w:rPr>
        <w:t>和3为待建变电站。</w:t>
      </w:r>
    </w:p>
    <w:p w14:paraId="4AB5B16C">
      <w:pPr>
        <w:pStyle w:val="2"/>
        <w:keepNext w:val="0"/>
        <w:keepLines w:val="0"/>
        <w:spacing w:before="0" w:after="0"/>
        <w:rPr>
          <w:rFonts w:ascii="Times New Roman" w:hAnsi="Times New Roman" w:cs="Times New Roman"/>
          <w:sz w:val="30"/>
          <w:szCs w:val="30"/>
        </w:rPr>
      </w:pPr>
      <w:bookmarkStart w:id="3" w:name="_Toc534576817"/>
      <w:bookmarkStart w:id="4" w:name="_Toc534578171"/>
      <w:bookmarkStart w:id="5" w:name="_Toc534577504"/>
      <w:r>
        <w:rPr>
          <w:rFonts w:ascii="Times New Roman" w:hAnsi="Times New Roman" w:cs="Times New Roman"/>
          <w:sz w:val="30"/>
          <w:szCs w:val="30"/>
        </w:rPr>
        <w:t>1.2发电厂技术参数</w:t>
      </w:r>
      <w:bookmarkEnd w:id="3"/>
      <w:bookmarkEnd w:id="4"/>
      <w:bookmarkEnd w:id="5"/>
    </w:p>
    <w:p w14:paraId="6A61EB5A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装机台数、容量：2× 340（MW）</w:t>
      </w:r>
    </w:p>
    <w:p w14:paraId="1E124DB2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额定电压（kV）：20kV</w:t>
      </w:r>
    </w:p>
    <w:p w14:paraId="31EF3985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t>额定功率因数 cos</w:t>
      </w:r>
      <w:r>
        <w:rPr>
          <w:rFonts w:cs="Times New Roman"/>
          <w:i/>
          <w:color w:val="000000"/>
        </w:rPr>
        <w:sym w:font="Symbol" w:char="F06A"/>
      </w:r>
      <w:r>
        <w:rPr>
          <w:rFonts w:eastAsia="Times New Roman" w:cs="Times New Roman"/>
          <w:i/>
          <w:iCs/>
          <w:sz w:val="27"/>
          <w:szCs w:val="27"/>
          <w:vertAlign w:val="subscript"/>
        </w:rPr>
        <w:t>N</w:t>
      </w:r>
      <w:r>
        <w:rPr>
          <w:rFonts w:cs="Times New Roman"/>
          <w:szCs w:val="24"/>
        </w:rPr>
        <w:t xml:space="preserve"> = 0.8，最小运行方式为1台机运行。</w:t>
      </w:r>
    </w:p>
    <w:p w14:paraId="233A938A">
      <w:pPr>
        <w:pStyle w:val="2"/>
        <w:keepNext w:val="0"/>
        <w:keepLines w:val="0"/>
        <w:spacing w:before="0" w:after="0"/>
        <w:rPr>
          <w:rFonts w:ascii="Times New Roman" w:hAnsi="Times New Roman" w:cs="Times New Roman"/>
          <w:sz w:val="30"/>
          <w:szCs w:val="30"/>
        </w:rPr>
      </w:pPr>
      <w:bookmarkStart w:id="6" w:name="_Toc534576818"/>
      <w:bookmarkStart w:id="7" w:name="_Toc534577505"/>
      <w:bookmarkStart w:id="8" w:name="_Toc534578172"/>
      <w:r>
        <w:rPr>
          <w:rFonts w:ascii="Times New Roman" w:hAnsi="Times New Roman" w:cs="Times New Roman"/>
          <w:sz w:val="30"/>
          <w:szCs w:val="30"/>
        </w:rPr>
        <w:t>1.3负荷数据及有关要求</w:t>
      </w:r>
      <w:bookmarkEnd w:id="6"/>
      <w:bookmarkEnd w:id="7"/>
      <w:bookmarkEnd w:id="8"/>
    </w:p>
    <w:p w14:paraId="7A1DEE8B">
      <w:pPr>
        <w:ind w:firstLine="480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负荷参数如表</w:t>
      </w:r>
      <w:r>
        <w:rPr>
          <w:rStyle w:val="10"/>
          <w:rFonts w:ascii="Times New Roman" w:hAnsi="Times New Roman" w:cs="Times New Roman"/>
          <w:sz w:val="24"/>
          <w:szCs w:val="24"/>
        </w:rPr>
        <w:t>1-1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所示。</w:t>
      </w:r>
    </w:p>
    <w:p w14:paraId="2C0267EA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06A2FD15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3F6BF046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19E64C0C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2F04A9C4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647CC8EC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02A54483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24EE4E7F">
      <w:pPr>
        <w:ind w:firstLine="440"/>
        <w:rPr>
          <w:rStyle w:val="11"/>
          <w:rFonts w:hint="default" w:ascii="Times New Roman" w:hAnsi="Times New Roman" w:cs="Times New Roman"/>
          <w:szCs w:val="24"/>
        </w:rPr>
      </w:pPr>
    </w:p>
    <w:p w14:paraId="0B58818D">
      <w:pPr>
        <w:ind w:firstLine="422"/>
        <w:jc w:val="center"/>
        <w:rPr>
          <w:rFonts w:cs="Times New Roman"/>
          <w:b/>
          <w:bCs/>
          <w:color w:val="000000"/>
          <w:sz w:val="21"/>
          <w:szCs w:val="21"/>
        </w:rPr>
      </w:pPr>
      <w:r>
        <w:rPr>
          <w:rStyle w:val="11"/>
          <w:rFonts w:hint="default" w:ascii="Times New Roman" w:hAnsi="Times New Roman" w:cs="Times New Roman"/>
          <w:b/>
          <w:bCs/>
          <w:sz w:val="21"/>
          <w:szCs w:val="21"/>
        </w:rPr>
        <w:t>表</w:t>
      </w:r>
      <w:r>
        <w:rPr>
          <w:rStyle w:val="10"/>
          <w:rFonts w:ascii="Times New Roman" w:hAnsi="Times New Roman" w:cs="Times New Roman"/>
          <w:b/>
          <w:bCs/>
          <w:sz w:val="21"/>
          <w:szCs w:val="21"/>
        </w:rPr>
        <w:t xml:space="preserve">1-1 </w:t>
      </w:r>
      <w:r>
        <w:rPr>
          <w:rStyle w:val="11"/>
          <w:rFonts w:hint="default" w:ascii="Times New Roman" w:hAnsi="Times New Roman" w:cs="Times New Roman"/>
          <w:b/>
          <w:bCs/>
          <w:sz w:val="21"/>
          <w:szCs w:val="21"/>
        </w:rPr>
        <w:t>负荷参数</w:t>
      </w:r>
    </w:p>
    <w:tbl>
      <w:tblPr>
        <w:tblStyle w:val="7"/>
        <w:tblW w:w="9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561"/>
        <w:gridCol w:w="1841"/>
        <w:gridCol w:w="1614"/>
        <w:gridCol w:w="1695"/>
        <w:gridCol w:w="1695"/>
      </w:tblGrid>
      <w:tr w14:paraId="4DD3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exact"/>
          <w:jc w:val="center"/>
        </w:trPr>
        <w:tc>
          <w:tcPr>
            <w:tcW w:w="2782" w:type="dxa"/>
            <w:gridSpan w:val="2"/>
            <w:vMerge w:val="restart"/>
            <w:tcBorders>
              <w:tl2br w:val="single" w:color="auto" w:sz="4" w:space="0"/>
            </w:tcBorders>
            <w:vAlign w:val="center"/>
          </w:tcPr>
          <w:p w14:paraId="457FC5C7">
            <w:pPr>
              <w:wordWrap w:val="0"/>
              <w:ind w:left="960" w:leftChars="400" w:firstLine="0" w:firstLineChars="0"/>
              <w:jc w:val="right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 xml:space="preserve">厂站    </w:t>
            </w:r>
          </w:p>
          <w:p w14:paraId="4651A8BD">
            <w:pPr>
              <w:ind w:firstLine="600" w:firstLineChars="250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项目</w:t>
            </w:r>
          </w:p>
        </w:tc>
        <w:tc>
          <w:tcPr>
            <w:tcW w:w="1841" w:type="dxa"/>
            <w:vAlign w:val="center"/>
          </w:tcPr>
          <w:p w14:paraId="7AFF8EF8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发电厂</w:t>
            </w:r>
          </w:p>
        </w:tc>
        <w:tc>
          <w:tcPr>
            <w:tcW w:w="5004" w:type="dxa"/>
            <w:gridSpan w:val="3"/>
            <w:vAlign w:val="center"/>
          </w:tcPr>
          <w:p w14:paraId="556AC05A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变电所</w:t>
            </w:r>
          </w:p>
        </w:tc>
      </w:tr>
      <w:tr w14:paraId="0D9D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2782" w:type="dxa"/>
            <w:gridSpan w:val="2"/>
            <w:vMerge w:val="continue"/>
            <w:tcBorders>
              <w:tl2br w:val="single" w:color="auto" w:sz="4" w:space="0"/>
            </w:tcBorders>
            <w:vAlign w:val="center"/>
          </w:tcPr>
          <w:p w14:paraId="03679C29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</w:p>
        </w:tc>
        <w:tc>
          <w:tcPr>
            <w:tcW w:w="1841" w:type="dxa"/>
            <w:vAlign w:val="center"/>
          </w:tcPr>
          <w:p w14:paraId="246DB26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A</w:t>
            </w:r>
          </w:p>
        </w:tc>
        <w:tc>
          <w:tcPr>
            <w:tcW w:w="1614" w:type="dxa"/>
            <w:vAlign w:val="center"/>
          </w:tcPr>
          <w:p w14:paraId="78D1B285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</w:t>
            </w:r>
          </w:p>
        </w:tc>
        <w:tc>
          <w:tcPr>
            <w:tcW w:w="1695" w:type="dxa"/>
            <w:vAlign w:val="center"/>
          </w:tcPr>
          <w:p w14:paraId="45888A33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</w:t>
            </w:r>
          </w:p>
        </w:tc>
        <w:tc>
          <w:tcPr>
            <w:tcW w:w="1695" w:type="dxa"/>
          </w:tcPr>
          <w:p w14:paraId="041EFEDA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3</w:t>
            </w:r>
          </w:p>
        </w:tc>
      </w:tr>
      <w:tr w14:paraId="6246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  <w:jc w:val="center"/>
        </w:trPr>
        <w:tc>
          <w:tcPr>
            <w:tcW w:w="2782" w:type="dxa"/>
            <w:gridSpan w:val="2"/>
            <w:vAlign w:val="center"/>
          </w:tcPr>
          <w:p w14:paraId="39BEE2C4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最大负荷（MW）</w:t>
            </w:r>
          </w:p>
        </w:tc>
        <w:tc>
          <w:tcPr>
            <w:tcW w:w="1841" w:type="dxa"/>
            <w:vAlign w:val="center"/>
          </w:tcPr>
          <w:p w14:paraId="2E825C34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70</w:t>
            </w:r>
          </w:p>
        </w:tc>
        <w:tc>
          <w:tcPr>
            <w:tcW w:w="1614" w:type="dxa"/>
            <w:vAlign w:val="center"/>
          </w:tcPr>
          <w:p w14:paraId="1E9452E3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270</w:t>
            </w:r>
          </w:p>
        </w:tc>
        <w:tc>
          <w:tcPr>
            <w:tcW w:w="1695" w:type="dxa"/>
            <w:vAlign w:val="center"/>
          </w:tcPr>
          <w:p w14:paraId="6579D343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260</w:t>
            </w:r>
          </w:p>
        </w:tc>
        <w:tc>
          <w:tcPr>
            <w:tcW w:w="1695" w:type="dxa"/>
          </w:tcPr>
          <w:p w14:paraId="50951CBF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280</w:t>
            </w:r>
          </w:p>
        </w:tc>
      </w:tr>
      <w:tr w14:paraId="695C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exact"/>
          <w:jc w:val="center"/>
        </w:trPr>
        <w:tc>
          <w:tcPr>
            <w:tcW w:w="2782" w:type="dxa"/>
            <w:gridSpan w:val="2"/>
            <w:vAlign w:val="center"/>
          </w:tcPr>
          <w:p w14:paraId="2B3F6F39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最小负荷（MW）</w:t>
            </w:r>
          </w:p>
        </w:tc>
        <w:tc>
          <w:tcPr>
            <w:tcW w:w="1841" w:type="dxa"/>
            <w:vAlign w:val="center"/>
          </w:tcPr>
          <w:p w14:paraId="796A9C3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24</w:t>
            </w:r>
          </w:p>
        </w:tc>
        <w:tc>
          <w:tcPr>
            <w:tcW w:w="1614" w:type="dxa"/>
            <w:vAlign w:val="center"/>
          </w:tcPr>
          <w:p w14:paraId="1B796896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95</w:t>
            </w:r>
          </w:p>
        </w:tc>
        <w:tc>
          <w:tcPr>
            <w:tcW w:w="1695" w:type="dxa"/>
            <w:vAlign w:val="center"/>
          </w:tcPr>
          <w:p w14:paraId="3562CC5A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85</w:t>
            </w:r>
          </w:p>
        </w:tc>
        <w:tc>
          <w:tcPr>
            <w:tcW w:w="1695" w:type="dxa"/>
          </w:tcPr>
          <w:p w14:paraId="76286BAE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90</w:t>
            </w:r>
          </w:p>
        </w:tc>
      </w:tr>
      <w:tr w14:paraId="6D3C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exact"/>
          <w:jc w:val="center"/>
        </w:trPr>
        <w:tc>
          <w:tcPr>
            <w:tcW w:w="2782" w:type="dxa"/>
            <w:gridSpan w:val="2"/>
            <w:vAlign w:val="center"/>
          </w:tcPr>
          <w:p w14:paraId="2B73343C">
            <w:pPr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功率因数（cos</w:t>
            </w:r>
            <w:r>
              <w:rPr>
                <w:rFonts w:cs="Times New Roman"/>
                <w:i/>
                <w:kern w:val="0"/>
                <w:szCs w:val="24"/>
              </w:rPr>
              <w:sym w:font="Symbol" w:char="F06A"/>
            </w:r>
            <w:r>
              <w:rPr>
                <w:rFonts w:cs="Times New Roman"/>
                <w:kern w:val="0"/>
                <w:szCs w:val="24"/>
              </w:rPr>
              <w:t>）</w:t>
            </w:r>
          </w:p>
        </w:tc>
        <w:tc>
          <w:tcPr>
            <w:tcW w:w="1841" w:type="dxa"/>
            <w:vAlign w:val="center"/>
          </w:tcPr>
          <w:p w14:paraId="449F4D5D">
            <w:pPr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0.80</w:t>
            </w:r>
          </w:p>
        </w:tc>
        <w:tc>
          <w:tcPr>
            <w:tcW w:w="1614" w:type="dxa"/>
            <w:vAlign w:val="center"/>
          </w:tcPr>
          <w:p w14:paraId="4B006BAA">
            <w:pPr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0.8</w:t>
            </w:r>
          </w:p>
        </w:tc>
        <w:tc>
          <w:tcPr>
            <w:tcW w:w="1695" w:type="dxa"/>
            <w:vAlign w:val="center"/>
          </w:tcPr>
          <w:p w14:paraId="000486CE">
            <w:pPr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0.90</w:t>
            </w:r>
          </w:p>
        </w:tc>
        <w:tc>
          <w:tcPr>
            <w:tcW w:w="1695" w:type="dxa"/>
          </w:tcPr>
          <w:p w14:paraId="451AD6D8">
            <w:pPr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0.85</w:t>
            </w:r>
          </w:p>
        </w:tc>
      </w:tr>
      <w:tr w14:paraId="0D8A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782" w:type="dxa"/>
            <w:gridSpan w:val="2"/>
            <w:vAlign w:val="center"/>
          </w:tcPr>
          <w:p w14:paraId="082E416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Tmax(h)</w:t>
            </w:r>
          </w:p>
        </w:tc>
        <w:tc>
          <w:tcPr>
            <w:tcW w:w="1841" w:type="dxa"/>
            <w:vAlign w:val="center"/>
          </w:tcPr>
          <w:p w14:paraId="60C99263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5000</w:t>
            </w:r>
          </w:p>
          <w:p w14:paraId="7638C412">
            <w:pPr>
              <w:ind w:firstLine="480"/>
              <w:rPr>
                <w:rFonts w:cs="Times New Roman"/>
                <w:kern w:val="0"/>
                <w:szCs w:val="24"/>
              </w:rPr>
            </w:pPr>
          </w:p>
          <w:p w14:paraId="0AE0A5A6">
            <w:pPr>
              <w:ind w:firstLine="480"/>
              <w:rPr>
                <w:rFonts w:cs="Times New Roman"/>
                <w:kern w:val="0"/>
                <w:szCs w:val="24"/>
              </w:rPr>
            </w:pPr>
          </w:p>
        </w:tc>
        <w:tc>
          <w:tcPr>
            <w:tcW w:w="1614" w:type="dxa"/>
            <w:vAlign w:val="center"/>
          </w:tcPr>
          <w:p w14:paraId="520D9676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5500</w:t>
            </w:r>
          </w:p>
        </w:tc>
        <w:tc>
          <w:tcPr>
            <w:tcW w:w="1695" w:type="dxa"/>
            <w:vAlign w:val="center"/>
          </w:tcPr>
          <w:p w14:paraId="03947318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5000</w:t>
            </w:r>
          </w:p>
        </w:tc>
        <w:tc>
          <w:tcPr>
            <w:tcW w:w="1695" w:type="dxa"/>
          </w:tcPr>
          <w:p w14:paraId="3248B5CC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5000</w:t>
            </w:r>
          </w:p>
        </w:tc>
      </w:tr>
      <w:tr w14:paraId="0E65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2782" w:type="dxa"/>
            <w:gridSpan w:val="2"/>
            <w:vAlign w:val="center"/>
          </w:tcPr>
          <w:p w14:paraId="5839278F">
            <w:pPr>
              <w:widowControl/>
              <w:spacing w:line="240" w:lineRule="auto"/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kern w:val="0"/>
                <w:szCs w:val="24"/>
              </w:rPr>
              <w:t>负荷电压</w:t>
            </w:r>
            <w:r>
              <w:rPr>
                <w:rStyle w:val="12"/>
                <w:rFonts w:ascii="Times New Roman" w:hAnsi="Times New Roman" w:cs="Times New Roman"/>
                <w:kern w:val="0"/>
                <w:sz w:val="24"/>
                <w:szCs w:val="24"/>
              </w:rPr>
              <w:t>(kV)</w:t>
            </w:r>
          </w:p>
        </w:tc>
        <w:tc>
          <w:tcPr>
            <w:tcW w:w="1841" w:type="dxa"/>
            <w:vAlign w:val="center"/>
          </w:tcPr>
          <w:p w14:paraId="7502DC15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614" w:type="dxa"/>
            <w:vAlign w:val="center"/>
          </w:tcPr>
          <w:p w14:paraId="46B4B42E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695" w:type="dxa"/>
            <w:vAlign w:val="center"/>
          </w:tcPr>
          <w:p w14:paraId="0BABC3D8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695" w:type="dxa"/>
          </w:tcPr>
          <w:p w14:paraId="2A405E23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10</w:t>
            </w:r>
          </w:p>
        </w:tc>
      </w:tr>
      <w:tr w14:paraId="2293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exact"/>
          <w:jc w:val="center"/>
        </w:trPr>
        <w:tc>
          <w:tcPr>
            <w:tcW w:w="1221" w:type="dxa"/>
            <w:vMerge w:val="restart"/>
            <w:vAlign w:val="center"/>
          </w:tcPr>
          <w:p w14:paraId="148C245C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调压要求</w:t>
            </w:r>
          </w:p>
        </w:tc>
        <w:tc>
          <w:tcPr>
            <w:tcW w:w="1561" w:type="dxa"/>
            <w:vAlign w:val="center"/>
          </w:tcPr>
          <w:p w14:paraId="2E57AD47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调压范围(%)</w:t>
            </w:r>
          </w:p>
        </w:tc>
        <w:tc>
          <w:tcPr>
            <w:tcW w:w="1841" w:type="dxa"/>
            <w:vAlign w:val="center"/>
          </w:tcPr>
          <w:p w14:paraId="5F59A0F9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0～5</w:t>
            </w:r>
          </w:p>
        </w:tc>
        <w:tc>
          <w:tcPr>
            <w:tcW w:w="1614" w:type="dxa"/>
            <w:vAlign w:val="center"/>
          </w:tcPr>
          <w:p w14:paraId="72401D3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2～5</w:t>
            </w:r>
          </w:p>
        </w:tc>
        <w:tc>
          <w:tcPr>
            <w:tcW w:w="1695" w:type="dxa"/>
            <w:vAlign w:val="center"/>
          </w:tcPr>
          <w:p w14:paraId="74C91C82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0～5</w:t>
            </w:r>
          </w:p>
        </w:tc>
        <w:tc>
          <w:tcPr>
            <w:tcW w:w="1695" w:type="dxa"/>
          </w:tcPr>
          <w:p w14:paraId="4B887EC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2～7</w:t>
            </w:r>
          </w:p>
        </w:tc>
      </w:tr>
      <w:tr w14:paraId="15D2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1221" w:type="dxa"/>
            <w:vMerge w:val="continue"/>
            <w:vAlign w:val="center"/>
          </w:tcPr>
          <w:p w14:paraId="439EA794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</w:p>
        </w:tc>
        <w:tc>
          <w:tcPr>
            <w:tcW w:w="1561" w:type="dxa"/>
            <w:vAlign w:val="center"/>
          </w:tcPr>
          <w:p w14:paraId="3279FA9C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调压方式</w:t>
            </w:r>
          </w:p>
        </w:tc>
        <w:tc>
          <w:tcPr>
            <w:tcW w:w="1841" w:type="dxa"/>
            <w:vAlign w:val="center"/>
          </w:tcPr>
          <w:p w14:paraId="06CDA0A8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逆调压</w:t>
            </w:r>
          </w:p>
        </w:tc>
        <w:tc>
          <w:tcPr>
            <w:tcW w:w="1614" w:type="dxa"/>
            <w:vAlign w:val="center"/>
          </w:tcPr>
          <w:p w14:paraId="4D7B747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常调压</w:t>
            </w:r>
          </w:p>
        </w:tc>
        <w:tc>
          <w:tcPr>
            <w:tcW w:w="1695" w:type="dxa"/>
            <w:vAlign w:val="center"/>
          </w:tcPr>
          <w:p w14:paraId="5F24A5D6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逆调压</w:t>
            </w:r>
          </w:p>
        </w:tc>
        <w:tc>
          <w:tcPr>
            <w:tcW w:w="1695" w:type="dxa"/>
          </w:tcPr>
          <w:p w14:paraId="562850ED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顺调压</w:t>
            </w:r>
          </w:p>
        </w:tc>
      </w:tr>
      <w:tr w14:paraId="1ED0F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exact"/>
          <w:jc w:val="center"/>
        </w:trPr>
        <w:tc>
          <w:tcPr>
            <w:tcW w:w="1221" w:type="dxa"/>
            <w:vMerge w:val="restart"/>
            <w:vAlign w:val="center"/>
          </w:tcPr>
          <w:p w14:paraId="07CE31E8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各类负荷(%)</w:t>
            </w:r>
          </w:p>
        </w:tc>
        <w:tc>
          <w:tcPr>
            <w:tcW w:w="1561" w:type="dxa"/>
            <w:vAlign w:val="center"/>
          </w:tcPr>
          <w:p w14:paraId="3D8BE57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I类</w:t>
            </w:r>
          </w:p>
        </w:tc>
        <w:tc>
          <w:tcPr>
            <w:tcW w:w="1841" w:type="dxa"/>
            <w:vAlign w:val="center"/>
          </w:tcPr>
          <w:p w14:paraId="0FD689CC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35</w:t>
            </w:r>
          </w:p>
        </w:tc>
        <w:tc>
          <w:tcPr>
            <w:tcW w:w="1614" w:type="dxa"/>
            <w:vAlign w:val="center"/>
          </w:tcPr>
          <w:p w14:paraId="6B9FCEC7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10</w:t>
            </w:r>
          </w:p>
        </w:tc>
        <w:tc>
          <w:tcPr>
            <w:tcW w:w="1695" w:type="dxa"/>
            <w:vAlign w:val="center"/>
          </w:tcPr>
          <w:p w14:paraId="20FF62CA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30</w:t>
            </w:r>
          </w:p>
        </w:tc>
        <w:tc>
          <w:tcPr>
            <w:tcW w:w="1695" w:type="dxa"/>
          </w:tcPr>
          <w:p w14:paraId="663738FE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0</w:t>
            </w:r>
          </w:p>
        </w:tc>
      </w:tr>
      <w:tr w14:paraId="4503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exact"/>
          <w:jc w:val="center"/>
        </w:trPr>
        <w:tc>
          <w:tcPr>
            <w:tcW w:w="1221" w:type="dxa"/>
            <w:vMerge w:val="continue"/>
            <w:vAlign w:val="center"/>
          </w:tcPr>
          <w:p w14:paraId="4A20799B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</w:p>
        </w:tc>
        <w:tc>
          <w:tcPr>
            <w:tcW w:w="1561" w:type="dxa"/>
            <w:vAlign w:val="center"/>
          </w:tcPr>
          <w:p w14:paraId="3C3E6A8C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II类</w:t>
            </w:r>
          </w:p>
        </w:tc>
        <w:tc>
          <w:tcPr>
            <w:tcW w:w="1841" w:type="dxa"/>
            <w:vAlign w:val="center"/>
          </w:tcPr>
          <w:p w14:paraId="66B8AE9B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25</w:t>
            </w:r>
          </w:p>
        </w:tc>
        <w:tc>
          <w:tcPr>
            <w:tcW w:w="1614" w:type="dxa"/>
            <w:vAlign w:val="center"/>
          </w:tcPr>
          <w:p w14:paraId="5A999302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35</w:t>
            </w:r>
          </w:p>
        </w:tc>
        <w:tc>
          <w:tcPr>
            <w:tcW w:w="1695" w:type="dxa"/>
            <w:vAlign w:val="center"/>
          </w:tcPr>
          <w:p w14:paraId="640E2E61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30</w:t>
            </w:r>
          </w:p>
        </w:tc>
        <w:tc>
          <w:tcPr>
            <w:tcW w:w="1695" w:type="dxa"/>
          </w:tcPr>
          <w:p w14:paraId="355DC1E9">
            <w:pPr>
              <w:ind w:firstLine="0" w:firstLineChars="0"/>
              <w:jc w:val="center"/>
              <w:rPr>
                <w:rFonts w:cs="Times New Roman"/>
                <w:kern w:val="0"/>
                <w:szCs w:val="24"/>
              </w:rPr>
            </w:pPr>
            <w:r>
              <w:rPr>
                <w:rFonts w:cs="Times New Roman"/>
                <w:kern w:val="0"/>
                <w:szCs w:val="24"/>
              </w:rPr>
              <w:t>25</w:t>
            </w:r>
          </w:p>
        </w:tc>
      </w:tr>
    </w:tbl>
    <w:p w14:paraId="7D71CD54">
      <w:pPr>
        <w:snapToGrid w:val="0"/>
        <w:spacing w:before="240"/>
        <w:ind w:firstLine="0" w:firstLineChars="0"/>
        <w:jc w:val="both"/>
        <w:outlineLvl w:val="1"/>
        <w:rPr>
          <w:rFonts w:eastAsia="黑体" w:cs="Times New Roman"/>
          <w:color w:val="auto"/>
          <w:sz w:val="30"/>
          <w:szCs w:val="30"/>
        </w:rPr>
      </w:pPr>
      <w:r>
        <w:rPr>
          <w:rFonts w:eastAsia="黑体" w:cs="Times New Roman"/>
          <w:color w:val="auto"/>
          <w:sz w:val="30"/>
          <w:szCs w:val="30"/>
        </w:rPr>
        <w:t>2设计任务</w:t>
      </w:r>
    </w:p>
    <w:p w14:paraId="521987EC">
      <w:pPr>
        <w:snapToGrid w:val="0"/>
        <w:ind w:left="480" w:hanging="480" w:hangingChars="20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本次电力系统规划设计是根据给定的发电厂、变电所原始资料完成如下设计：</w:t>
      </w:r>
    </w:p>
    <w:p w14:paraId="1BBBBFD9">
      <w:pPr>
        <w:adjustRightInd w:val="0"/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  <w:bookmarkStart w:id="9" w:name="_Hlk153186678"/>
      <w:r>
        <w:rPr>
          <w:rFonts w:cs="Times New Roman"/>
          <w:color w:val="auto"/>
          <w:szCs w:val="24"/>
        </w:rPr>
        <w:t>2.1检验系统的功率平衡和确定电厂的运行方式</w:t>
      </w:r>
    </w:p>
    <w:p w14:paraId="7073E4F4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①</w:t>
      </w:r>
      <w:r>
        <w:rPr>
          <w:rFonts w:cs="Times New Roman"/>
          <w:color w:val="auto"/>
          <w:szCs w:val="24"/>
        </w:rPr>
        <w:t xml:space="preserve"> 有功功率平衡。</w:t>
      </w:r>
    </w:p>
    <w:p w14:paraId="6B4E1038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②</w:t>
      </w:r>
      <w:r>
        <w:rPr>
          <w:rFonts w:cs="Times New Roman"/>
          <w:color w:val="auto"/>
          <w:szCs w:val="24"/>
        </w:rPr>
        <w:t xml:space="preserve"> 无功功率平衡。</w:t>
      </w:r>
    </w:p>
    <w:p w14:paraId="034C7C1A">
      <w:pPr>
        <w:adjustRightInd w:val="0"/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2.2电力网接线方案的技术论证及经济比较</w:t>
      </w:r>
    </w:p>
    <w:p w14:paraId="45CD343A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①</w:t>
      </w:r>
      <w:r>
        <w:rPr>
          <w:rFonts w:cs="Times New Roman"/>
          <w:color w:val="auto"/>
          <w:szCs w:val="24"/>
        </w:rPr>
        <w:t>电力网接线方案的初步选择。</w:t>
      </w:r>
    </w:p>
    <w:p w14:paraId="287B314C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根据给定的电源和负荷，以及它们之间的相对距离，做出可能实现的各种接线方案（6-8个）。根据供电可靠性、灵活性、经济性等原则对方案作简明论述，将明显不合理的方案舍去，确定2-3个参加比较的初选方案，再作详细的技术经济比较。</w:t>
      </w:r>
    </w:p>
    <w:p w14:paraId="37E6250D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电网接线方案的初步选择主要是通过对接线方案的技术、经济的定性比较淘汰明显不合理的接线方案。</w:t>
      </w:r>
    </w:p>
    <w:p w14:paraId="0049AFEE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技术比较主要从以下几个方面着手（首先将规划网络视为均一网，计算中各节点取最大负荷）：</w:t>
      </w:r>
    </w:p>
    <w:p w14:paraId="205128F8">
      <w:pPr>
        <w:numPr>
          <w:ilvl w:val="0"/>
          <w:numId w:val="1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供电可靠性</w:t>
      </w:r>
    </w:p>
    <w:p w14:paraId="7DE4E75E">
      <w:pPr>
        <w:numPr>
          <w:ilvl w:val="0"/>
          <w:numId w:val="1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均一网的有功功率和无功功率初步分布</w:t>
      </w:r>
    </w:p>
    <w:p w14:paraId="0F891D99">
      <w:pPr>
        <w:numPr>
          <w:ilvl w:val="0"/>
          <w:numId w:val="1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电能</w:t>
      </w:r>
      <w:r>
        <w:rPr>
          <w:rFonts w:hint="eastAsia" w:cs="Times New Roman"/>
          <w:color w:val="auto"/>
          <w:szCs w:val="24"/>
          <w:lang w:val="en-US" w:eastAsia="zh-CN"/>
        </w:rPr>
        <w:t>损耗</w:t>
      </w:r>
      <w:bookmarkStart w:id="13" w:name="_GoBack"/>
      <w:bookmarkEnd w:id="13"/>
    </w:p>
    <w:p w14:paraId="0B19E817">
      <w:pPr>
        <w:numPr>
          <w:ilvl w:val="0"/>
          <w:numId w:val="1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运行维护的灵活性；</w:t>
      </w:r>
    </w:p>
    <w:p w14:paraId="01B5E264">
      <w:pPr>
        <w:numPr>
          <w:ilvl w:val="0"/>
          <w:numId w:val="1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网络的可扩展性和未来发展的适应性，等等。</w:t>
      </w:r>
    </w:p>
    <w:p w14:paraId="5259CC84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经济性比较可以从以下方面考虑：</w:t>
      </w:r>
    </w:p>
    <w:p w14:paraId="0B1CDE80">
      <w:pPr>
        <w:numPr>
          <w:ilvl w:val="0"/>
          <w:numId w:val="2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线路投资</w:t>
      </w:r>
    </w:p>
    <w:p w14:paraId="6299B620">
      <w:pPr>
        <w:numPr>
          <w:ilvl w:val="0"/>
          <w:numId w:val="2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线路的功率损耗</w:t>
      </w:r>
    </w:p>
    <w:p w14:paraId="0E7A7CDC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②</w:t>
      </w:r>
      <w:r>
        <w:rPr>
          <w:rFonts w:cs="Times New Roman"/>
          <w:color w:val="auto"/>
          <w:szCs w:val="24"/>
        </w:rPr>
        <w:t>初选合理方案的初步设计</w:t>
      </w:r>
    </w:p>
    <w:p w14:paraId="3390EEB7">
      <w:pPr>
        <w:numPr>
          <w:ilvl w:val="0"/>
          <w:numId w:val="3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电压等级的确定</w:t>
      </w:r>
    </w:p>
    <w:p w14:paraId="5B4EED40">
      <w:pPr>
        <w:numPr>
          <w:ilvl w:val="0"/>
          <w:numId w:val="3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输电线路导线截面的理论计算选择</w:t>
      </w:r>
    </w:p>
    <w:p w14:paraId="4E95CB39">
      <w:pPr>
        <w:numPr>
          <w:ilvl w:val="0"/>
          <w:numId w:val="3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导线型号的工程选择</w:t>
      </w:r>
    </w:p>
    <w:p w14:paraId="37B52011">
      <w:pPr>
        <w:numPr>
          <w:ilvl w:val="0"/>
          <w:numId w:val="3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功率损耗及电能损耗，电压损耗的计算</w:t>
      </w:r>
    </w:p>
    <w:p w14:paraId="59F0A2B9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③</w:t>
      </w:r>
      <w:r>
        <w:rPr>
          <w:rFonts w:cs="Times New Roman"/>
          <w:color w:val="auto"/>
          <w:szCs w:val="24"/>
        </w:rPr>
        <w:t>方案的比较和筛选</w:t>
      </w:r>
    </w:p>
    <w:p w14:paraId="54C53F7D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对合理初选方案进行定量的技术经济比较，确定技术合理，经济效益佳的方案为最佳方案。</w:t>
      </w:r>
    </w:p>
    <w:p w14:paraId="5694B1AD">
      <w:pPr>
        <w:numPr>
          <w:ilvl w:val="0"/>
          <w:numId w:val="4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技术比较的计算</w:t>
      </w:r>
    </w:p>
    <w:p w14:paraId="6688F99B">
      <w:pPr>
        <w:adjustRightInd w:val="0"/>
        <w:snapToGrid w:val="0"/>
        <w:ind w:firstLine="48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技术比较主要仍从供电可靠性、有功功率和无功功率分布合理性、电压质量水平、运行维护的灵活性、网络的可扩展性和未来发展的适应性等几个方面进行。</w:t>
      </w:r>
    </w:p>
    <w:p w14:paraId="5FE16EA6">
      <w:pPr>
        <w:numPr>
          <w:ilvl w:val="0"/>
          <w:numId w:val="4"/>
        </w:numPr>
        <w:adjustRightInd w:val="0"/>
        <w:snapToGrid w:val="0"/>
        <w:ind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 xml:space="preserve">经济比较的计算  </w:t>
      </w:r>
    </w:p>
    <w:p w14:paraId="31D53C3B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规划方案的经济性比较方法主要有现值比较法、年费用比较法、净现值法、内部收益率法、折返年限法等。</w:t>
      </w:r>
    </w:p>
    <w:p w14:paraId="4E86366A">
      <w:pPr>
        <w:adjustRightInd w:val="0"/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2.3变压器的选择和计算</w:t>
      </w:r>
    </w:p>
    <w:p w14:paraId="1CF34F05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①</w:t>
      </w:r>
      <w:r>
        <w:rPr>
          <w:rFonts w:cs="Times New Roman"/>
          <w:color w:val="auto"/>
          <w:szCs w:val="24"/>
        </w:rPr>
        <w:t>变压器的额定容量选择</w:t>
      </w:r>
    </w:p>
    <w:p w14:paraId="4EF3C330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②</w:t>
      </w:r>
      <w:r>
        <w:rPr>
          <w:rFonts w:cs="Times New Roman"/>
          <w:color w:val="auto"/>
          <w:szCs w:val="24"/>
        </w:rPr>
        <w:t>变压器的型号选择</w:t>
      </w:r>
    </w:p>
    <w:p w14:paraId="6CECBBEF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根据变压器的作用，选择升压、降压变压器，自耦变压器，双绕组或三绕组变压器，固定变比变压器，无载调压、有载调压变压器等。</w:t>
      </w:r>
    </w:p>
    <w:p w14:paraId="076BD93C">
      <w:pPr>
        <w:adjustRightInd w:val="0"/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2.4网络潮流计算</w:t>
      </w:r>
    </w:p>
    <w:p w14:paraId="339150F4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对选定的最佳电力网接线方案，应根据综合最大，最小负荷，考虑电厂的运行方式，确定机组的运行台数和出力。</w:t>
      </w:r>
    </w:p>
    <w:p w14:paraId="5BA420E3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①</w:t>
      </w:r>
      <w:r>
        <w:rPr>
          <w:rFonts w:cs="Times New Roman"/>
          <w:color w:val="auto"/>
          <w:szCs w:val="24"/>
        </w:rPr>
        <w:t>计算元件参数</w:t>
      </w:r>
    </w:p>
    <w:p w14:paraId="5EA5AA58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②</w:t>
      </w:r>
      <w:r>
        <w:rPr>
          <w:rFonts w:cs="Times New Roman"/>
          <w:color w:val="auto"/>
          <w:szCs w:val="24"/>
        </w:rPr>
        <w:t>分别计算正常情况下最大负荷和最小负荷时的潮流分布。</w:t>
      </w:r>
    </w:p>
    <w:p w14:paraId="6176E594">
      <w:pPr>
        <w:adjustRightInd w:val="0"/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2.5电压调整计算</w:t>
      </w:r>
    </w:p>
    <w:p w14:paraId="786349F9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①</w:t>
      </w:r>
      <w:r>
        <w:rPr>
          <w:rFonts w:cs="Times New Roman"/>
          <w:color w:val="auto"/>
          <w:szCs w:val="24"/>
        </w:rPr>
        <w:t>计算、校验最大、最小负荷时，沿线的电压水平是否满足要求；</w:t>
      </w:r>
    </w:p>
    <w:p w14:paraId="34773334">
      <w:pPr>
        <w:adjustRightInd w:val="0"/>
        <w:snapToGrid w:val="0"/>
        <w:ind w:firstLine="480" w:firstLineChars="0"/>
        <w:jc w:val="both"/>
        <w:rPr>
          <w:rFonts w:cs="Times New Roman"/>
          <w:color w:val="auto"/>
          <w:szCs w:val="24"/>
        </w:rPr>
      </w:pPr>
      <w:r>
        <w:rPr>
          <w:rFonts w:hint="eastAsia" w:ascii="宋体" w:hAnsi="宋体" w:cs="宋体"/>
          <w:color w:val="auto"/>
          <w:szCs w:val="24"/>
        </w:rPr>
        <w:t>②</w:t>
      </w:r>
      <w:r>
        <w:rPr>
          <w:rFonts w:cs="Times New Roman"/>
          <w:color w:val="auto"/>
          <w:szCs w:val="24"/>
        </w:rPr>
        <w:t>选择各变压器分接开关位置</w:t>
      </w:r>
      <w:r>
        <w:rPr>
          <w:rFonts w:hint="eastAsia" w:cs="Times New Roman"/>
          <w:color w:val="auto"/>
          <w:szCs w:val="24"/>
        </w:rPr>
        <w:t>。</w:t>
      </w:r>
    </w:p>
    <w:bookmarkEnd w:id="9"/>
    <w:p w14:paraId="0F8CFF6C">
      <w:pPr>
        <w:snapToGrid w:val="0"/>
        <w:ind w:firstLine="0" w:firstLineChars="0"/>
        <w:jc w:val="both"/>
        <w:outlineLvl w:val="1"/>
        <w:rPr>
          <w:rFonts w:eastAsia="黑体" w:cs="Times New Roman"/>
          <w:color w:val="auto"/>
          <w:sz w:val="30"/>
          <w:szCs w:val="30"/>
        </w:rPr>
      </w:pPr>
      <w:r>
        <w:rPr>
          <w:rFonts w:eastAsia="黑体" w:cs="Times New Roman"/>
          <w:color w:val="auto"/>
          <w:sz w:val="30"/>
          <w:szCs w:val="30"/>
        </w:rPr>
        <w:t>3设计要求</w:t>
      </w:r>
    </w:p>
    <w:p w14:paraId="0800ACF6">
      <w:pPr>
        <w:snapToGrid w:val="0"/>
        <w:ind w:left="480" w:hanging="480" w:hangingChars="20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3.1 设计中应严格遵守课程设计的规章制度，按时到设计教室进行设计，任何人不得迟到、早退和无故缺席；</w:t>
      </w:r>
    </w:p>
    <w:p w14:paraId="5A36350A">
      <w:pPr>
        <w:snapToGrid w:val="0"/>
        <w:ind w:left="480" w:hanging="480" w:hangingChars="20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3.2 同学应根据设计要求独立完成课程设计任务，同组成员之间可以商量讨论，但严禁相互抄袭；</w:t>
      </w:r>
    </w:p>
    <w:p w14:paraId="4DD4D465">
      <w:pPr>
        <w:snapToGrid w:val="0"/>
        <w:ind w:left="480" w:hanging="480" w:hangingChars="20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3.3 设计完成后，每个同学应提交打印的设计说明书一份，附图若干张，课程设计说明书编写和电路图绘制应附和规范要求。</w:t>
      </w:r>
    </w:p>
    <w:p w14:paraId="7ADBD78E">
      <w:pPr>
        <w:snapToGrid w:val="0"/>
        <w:spacing w:after="120"/>
        <w:ind w:left="440" w:firstLine="0" w:firstLineChars="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设计说明书内容：</w:t>
      </w:r>
      <w:r>
        <w:rPr>
          <w:rFonts w:cs="Times New Roman"/>
          <w:color w:val="auto"/>
          <w:szCs w:val="24"/>
        </w:rPr>
        <w:br w:type="textWrapping"/>
      </w:r>
      <w:r>
        <w:rPr>
          <w:rFonts w:cs="Times New Roman"/>
          <w:color w:val="auto"/>
          <w:szCs w:val="24"/>
        </w:rPr>
        <w:t>（1）设计任务介绍；</w:t>
      </w:r>
    </w:p>
    <w:p w14:paraId="26C67D9A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（2）电力系统功率平衡；</w:t>
      </w:r>
    </w:p>
    <w:p w14:paraId="36E0CE80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（3）电力系统规划方案选择；</w:t>
      </w:r>
    </w:p>
    <w:p w14:paraId="1F256521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（4）导线选择；</w:t>
      </w:r>
    </w:p>
    <w:p w14:paraId="71284A23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（5）发电厂变电站主变压器选择；</w:t>
      </w:r>
    </w:p>
    <w:p w14:paraId="51063D4A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（6）电网潮流计算汇总；</w:t>
      </w:r>
    </w:p>
    <w:p w14:paraId="43EBF7D6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 xml:space="preserve">（7）变压器分接头选择及调压； </w:t>
      </w:r>
    </w:p>
    <w:p w14:paraId="76438784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（8）小结。</w:t>
      </w:r>
    </w:p>
    <w:p w14:paraId="37B503D9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附图――设计图纸</w:t>
      </w:r>
    </w:p>
    <w:p w14:paraId="7B45E63A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（1）电力系统接线图（含地理位置图）；</w:t>
      </w:r>
    </w:p>
    <w:p w14:paraId="76D13671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（2）最大及最小运行方式潮流分布图；</w:t>
      </w:r>
    </w:p>
    <w:p w14:paraId="6AF1A7EC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（3）电力系统阻抗图；</w:t>
      </w:r>
    </w:p>
    <w:p w14:paraId="46C241ED">
      <w:pPr>
        <w:snapToGrid w:val="0"/>
        <w:ind w:firstLine="480"/>
        <w:contextualSpacing/>
        <w:jc w:val="both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附表：主要技术经济指标统计；器材统计</w:t>
      </w:r>
    </w:p>
    <w:p w14:paraId="2F6B023B">
      <w:pPr>
        <w:snapToGrid w:val="0"/>
        <w:ind w:left="480" w:hanging="480" w:hangingChars="200"/>
        <w:contextualSpacing/>
        <w:jc w:val="both"/>
        <w:rPr>
          <w:rFonts w:eastAsia="等线" w:cs="Times New Roman"/>
          <w:color w:val="auto"/>
          <w:sz w:val="20"/>
          <w:szCs w:val="20"/>
        </w:rPr>
      </w:pPr>
      <w:r>
        <w:rPr>
          <w:rFonts w:cs="Times New Roman"/>
          <w:color w:val="auto"/>
          <w:szCs w:val="24"/>
        </w:rPr>
        <w:t>3.4 按时参加课程设计答辩。</w:t>
      </w:r>
    </w:p>
    <w:p w14:paraId="3A9C08BC">
      <w:pPr>
        <w:snapToGrid w:val="0"/>
        <w:ind w:firstLine="0" w:firstLineChars="0"/>
        <w:jc w:val="both"/>
        <w:outlineLvl w:val="1"/>
        <w:rPr>
          <w:rFonts w:eastAsia="黑体" w:cs="Times New Roman"/>
          <w:color w:val="auto"/>
          <w:sz w:val="30"/>
          <w:szCs w:val="30"/>
        </w:rPr>
      </w:pPr>
      <w:bookmarkStart w:id="10" w:name="_Toc534578174"/>
      <w:bookmarkStart w:id="11" w:name="_Toc534576820"/>
      <w:bookmarkStart w:id="12" w:name="_Toc534577507"/>
      <w:r>
        <w:rPr>
          <w:rFonts w:eastAsia="黑体" w:cs="Times New Roman"/>
          <w:color w:val="auto"/>
          <w:sz w:val="30"/>
          <w:szCs w:val="30"/>
        </w:rPr>
        <w:t>4主要参考文献</w:t>
      </w:r>
    </w:p>
    <w:p w14:paraId="3FBE127C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陈珩.《电力系统稳态分析》（第四版）. 北京：水利电力出版社，2017年10月</w:t>
      </w:r>
    </w:p>
    <w:p w14:paraId="51DD519E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祝淑萍等，《电力系统分析课程设计与综合实验》，中国电力出版社出版日期：2007</w:t>
      </w:r>
    </w:p>
    <w:p w14:paraId="760BAADF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《电力系统设计手册》东北院编</w:t>
      </w:r>
    </w:p>
    <w:p w14:paraId="75E5D291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《电力工程概算指标》水电部编</w:t>
      </w:r>
    </w:p>
    <w:p w14:paraId="205267E4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《电力系统安全稳定导则》</w:t>
      </w:r>
    </w:p>
    <w:p w14:paraId="049BA599">
      <w:pPr>
        <w:widowControl/>
        <w:numPr>
          <w:ilvl w:val="0"/>
          <w:numId w:val="5"/>
        </w:numPr>
        <w:tabs>
          <w:tab w:val="left" w:pos="900"/>
        </w:tabs>
        <w:snapToGrid w:val="0"/>
        <w:ind w:firstLineChars="0"/>
        <w:jc w:val="both"/>
        <w:rPr>
          <w:rFonts w:cs="Times New Roman"/>
          <w:color w:val="auto"/>
          <w:kern w:val="0"/>
          <w:szCs w:val="24"/>
        </w:rPr>
      </w:pPr>
      <w:r>
        <w:rPr>
          <w:rFonts w:cs="Times New Roman"/>
          <w:color w:val="auto"/>
          <w:kern w:val="0"/>
          <w:szCs w:val="24"/>
        </w:rPr>
        <w:t>《电力工程设计手册》</w:t>
      </w:r>
    </w:p>
    <w:p w14:paraId="1B48943D">
      <w:pPr>
        <w:snapToGrid w:val="0"/>
        <w:ind w:firstLine="0" w:firstLineChars="0"/>
        <w:jc w:val="both"/>
        <w:outlineLvl w:val="1"/>
        <w:rPr>
          <w:rFonts w:eastAsia="黑体" w:cs="Times New Roman"/>
          <w:color w:val="auto"/>
          <w:sz w:val="30"/>
          <w:szCs w:val="30"/>
        </w:rPr>
      </w:pPr>
      <w:r>
        <w:rPr>
          <w:rFonts w:eastAsia="黑体" w:cs="Times New Roman"/>
          <w:color w:val="auto"/>
          <w:sz w:val="30"/>
          <w:szCs w:val="30"/>
        </w:rPr>
        <w:t>5课程设计（论文）工作进度计划表</w:t>
      </w:r>
      <w:bookmarkEnd w:id="10"/>
      <w:bookmarkEnd w:id="11"/>
      <w:bookmarkEnd w:id="12"/>
    </w:p>
    <w:tbl>
      <w:tblPr>
        <w:tblStyle w:val="7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3213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2"/>
      </w:tblGrid>
      <w:tr w14:paraId="2F29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7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E676D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序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号</w:t>
            </w:r>
          </w:p>
        </w:tc>
        <w:tc>
          <w:tcPr>
            <w:tcW w:w="321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F00D1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工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 xml:space="preserve"> </w:t>
            </w:r>
            <w:r>
              <w:rPr>
                <w:rFonts w:cs="Times New Roman"/>
                <w:color w:val="auto"/>
                <w:sz w:val="21"/>
                <w:szCs w:val="21"/>
              </w:rPr>
              <w:t>作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 xml:space="preserve"> </w:t>
            </w:r>
            <w:r>
              <w:rPr>
                <w:rFonts w:cs="Times New Roman"/>
                <w:color w:val="auto"/>
                <w:sz w:val="21"/>
                <w:szCs w:val="21"/>
              </w:rPr>
              <w:t>任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 xml:space="preserve"> 务</w:t>
            </w:r>
          </w:p>
        </w:tc>
        <w:tc>
          <w:tcPr>
            <w:tcW w:w="454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5DFE8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工作进度日程安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排</w:t>
            </w:r>
          </w:p>
        </w:tc>
      </w:tr>
      <w:tr w14:paraId="3EC8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2A0EF">
            <w:pPr>
              <w:widowControl/>
              <w:snapToGrid w:val="0"/>
              <w:ind w:firstLine="0" w:firstLineChars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21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3CD6F">
            <w:pPr>
              <w:widowControl/>
              <w:snapToGrid w:val="0"/>
              <w:ind w:firstLine="0" w:firstLineChars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5EFE0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D4571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FCC86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08836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585E0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F936F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01923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2C8BE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7BB91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00C63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10</w:t>
            </w:r>
          </w:p>
        </w:tc>
      </w:tr>
      <w:tr w14:paraId="6716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AB35F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04A05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搜集、阅读与电网规划有关的各种资料，电力电量平衡计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算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09BA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22D2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D320F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4F4E9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17BD8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1F471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89983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41BB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16D4E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D3971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14:paraId="2792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6BE6B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AD8D0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电网接线初步方案拟定与比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较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09BB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A2EE5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F8FB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19732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835FD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0E4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4DF2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9829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4E285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1B09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14:paraId="0026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36D75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16FB3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电网接线方案的经济技术比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较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2B319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B92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EEDFE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E11F5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783B7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C4922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A6BD1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B12D2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FB950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81CF2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14:paraId="0541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CAF7A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52152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电网潮流和调压计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算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22AAD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2453F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B5B2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DDA5C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EE4B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7A2F4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AC3E9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E6C9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C4C7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EA205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14:paraId="656D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96E09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DFE86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整理课程设计论文并打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02D09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035DE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C906D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48441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3B170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51D43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5728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1F6A6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CB84C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39872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</w:tr>
      <w:tr w14:paraId="7D97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82220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eastAsia="等线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3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C8B25">
            <w:pPr>
              <w:snapToGrid w:val="0"/>
              <w:ind w:firstLine="0" w:firstLineChars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auto"/>
                <w:sz w:val="21"/>
                <w:szCs w:val="21"/>
              </w:rPr>
              <w:t>提交课程设计成果、答</w:t>
            </w:r>
            <w:r>
              <w:rPr>
                <w:rFonts w:eastAsia="等线" w:cs="Times New Roman"/>
                <w:color w:val="auto"/>
                <w:sz w:val="21"/>
                <w:szCs w:val="21"/>
              </w:rPr>
              <w:t>辩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43BD5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E4CB7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58169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EA1A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F57BE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0514E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9016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3E7CF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0018B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50B5A">
            <w:pPr>
              <w:snapToGrid w:val="0"/>
              <w:ind w:firstLine="0" w:firstLineChars="0"/>
              <w:jc w:val="center"/>
              <w:rPr>
                <w:rFonts w:cs="Times New Roman"/>
                <w:b/>
                <w:sz w:val="21"/>
                <w:szCs w:val="21"/>
              </w:rPr>
            </w:pPr>
            <w:r>
              <w:rPr>
                <w:rFonts w:eastAsia="等线" w:cs="Times New Roman"/>
                <w:b/>
                <w:color w:val="auto"/>
                <w:sz w:val="21"/>
                <w:szCs w:val="21"/>
              </w:rPr>
              <w:t>*</w:t>
            </w:r>
          </w:p>
        </w:tc>
      </w:tr>
    </w:tbl>
    <w:p w14:paraId="18E71558">
      <w:pPr>
        <w:tabs>
          <w:tab w:val="left" w:pos="1020"/>
        </w:tabs>
        <w:snapToGrid w:val="0"/>
        <w:ind w:firstLine="0" w:firstLineChars="0"/>
        <w:jc w:val="both"/>
        <w:rPr>
          <w:rFonts w:cs="Times New Roman"/>
          <w:color w:val="auto"/>
          <w:szCs w:val="24"/>
        </w:rPr>
      </w:pPr>
    </w:p>
    <w:p w14:paraId="0D108467">
      <w:pPr>
        <w:snapToGrid w:val="0"/>
        <w:ind w:firstLine="0" w:firstLineChars="0"/>
        <w:outlineLvl w:val="1"/>
        <w:rPr>
          <w:rFonts w:eastAsia="等线" w:cs="Times New Roman"/>
          <w:color w:val="auto"/>
          <w:sz w:val="21"/>
        </w:rPr>
      </w:pPr>
    </w:p>
    <w:p w14:paraId="07D76BA6">
      <w:pPr>
        <w:snapToGrid w:val="0"/>
        <w:ind w:firstLine="480" w:firstLineChars="0"/>
        <w:outlineLvl w:val="1"/>
        <w:rPr>
          <w:rFonts w:eastAsia="等线" w:cs="Times New Roman"/>
          <w:color w:val="auto"/>
          <w:sz w:val="21"/>
        </w:rPr>
      </w:pPr>
    </w:p>
    <w:p w14:paraId="53961B21">
      <w:pPr>
        <w:snapToGrid w:val="0"/>
        <w:ind w:firstLine="0" w:firstLineChars="0"/>
        <w:jc w:val="both"/>
        <w:outlineLvl w:val="1"/>
        <w:rPr>
          <w:rFonts w:cs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8" w:right="1134" w:bottom="1134" w:left="1701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DE39C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3E6F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B7AE4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A2AB5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3C9FE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9F9D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50664"/>
    <w:multiLevelType w:val="multilevel"/>
    <w:tmpl w:val="0A050664"/>
    <w:lvl w:ilvl="0" w:tentative="0">
      <w:start w:val="1"/>
      <w:numFmt w:val="lowerLetter"/>
      <w:lvlText w:val="%1)"/>
      <w:lvlJc w:val="left"/>
      <w:pPr>
        <w:ind w:left="1555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3EAE59C2"/>
    <w:multiLevelType w:val="multilevel"/>
    <w:tmpl w:val="3EAE59C2"/>
    <w:lvl w:ilvl="0" w:tentative="0">
      <w:start w:val="1"/>
      <w:numFmt w:val="lowerLetter"/>
      <w:lvlText w:val="%1)"/>
      <w:lvlJc w:val="left"/>
      <w:pPr>
        <w:ind w:left="1555" w:hanging="420"/>
      </w:pPr>
    </w:lvl>
    <w:lvl w:ilvl="1" w:tentative="0">
      <w:start w:val="1"/>
      <w:numFmt w:val="lowerLetter"/>
      <w:lvlText w:val="%2)"/>
      <w:lvlJc w:val="left"/>
      <w:pPr>
        <w:ind w:left="2117" w:hanging="420"/>
      </w:pPr>
    </w:lvl>
    <w:lvl w:ilvl="2" w:tentative="0">
      <w:start w:val="1"/>
      <w:numFmt w:val="lowerRoman"/>
      <w:lvlText w:val="%3."/>
      <w:lvlJc w:val="right"/>
      <w:pPr>
        <w:ind w:left="2537" w:hanging="420"/>
      </w:pPr>
    </w:lvl>
    <w:lvl w:ilvl="3" w:tentative="0">
      <w:start w:val="1"/>
      <w:numFmt w:val="decimal"/>
      <w:lvlText w:val="%4."/>
      <w:lvlJc w:val="left"/>
      <w:pPr>
        <w:ind w:left="2957" w:hanging="420"/>
      </w:pPr>
    </w:lvl>
    <w:lvl w:ilvl="4" w:tentative="0">
      <w:start w:val="1"/>
      <w:numFmt w:val="lowerLetter"/>
      <w:lvlText w:val="%5)"/>
      <w:lvlJc w:val="left"/>
      <w:pPr>
        <w:ind w:left="3377" w:hanging="420"/>
      </w:pPr>
    </w:lvl>
    <w:lvl w:ilvl="5" w:tentative="0">
      <w:start w:val="1"/>
      <w:numFmt w:val="lowerRoman"/>
      <w:lvlText w:val="%6."/>
      <w:lvlJc w:val="right"/>
      <w:pPr>
        <w:ind w:left="3797" w:hanging="420"/>
      </w:pPr>
    </w:lvl>
    <w:lvl w:ilvl="6" w:tentative="0">
      <w:start w:val="1"/>
      <w:numFmt w:val="decimal"/>
      <w:lvlText w:val="%7."/>
      <w:lvlJc w:val="left"/>
      <w:pPr>
        <w:ind w:left="4217" w:hanging="420"/>
      </w:pPr>
    </w:lvl>
    <w:lvl w:ilvl="7" w:tentative="0">
      <w:start w:val="1"/>
      <w:numFmt w:val="lowerLetter"/>
      <w:lvlText w:val="%8)"/>
      <w:lvlJc w:val="left"/>
      <w:pPr>
        <w:ind w:left="4637" w:hanging="420"/>
      </w:pPr>
    </w:lvl>
    <w:lvl w:ilvl="8" w:tentative="0">
      <w:start w:val="1"/>
      <w:numFmt w:val="lowerRoman"/>
      <w:lvlText w:val="%9."/>
      <w:lvlJc w:val="right"/>
      <w:pPr>
        <w:ind w:left="5057" w:hanging="420"/>
      </w:pPr>
    </w:lvl>
  </w:abstractNum>
  <w:abstractNum w:abstractNumId="2">
    <w:nsid w:val="3F321ACB"/>
    <w:multiLevelType w:val="multilevel"/>
    <w:tmpl w:val="3F321ACB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086709"/>
    <w:multiLevelType w:val="multilevel"/>
    <w:tmpl w:val="5C086709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AA32EA3"/>
    <w:multiLevelType w:val="multilevel"/>
    <w:tmpl w:val="6AA32EA3"/>
    <w:lvl w:ilvl="0" w:tentative="0">
      <w:start w:val="1"/>
      <w:numFmt w:val="lowerLetter"/>
      <w:lvlText w:val="%1)"/>
      <w:lvlJc w:val="left"/>
      <w:pPr>
        <w:ind w:left="1413" w:hanging="420"/>
      </w:pPr>
    </w:lvl>
    <w:lvl w:ilvl="1" w:tentative="0">
      <w:start w:val="1"/>
      <w:numFmt w:val="lowerLetter"/>
      <w:lvlText w:val="%2)"/>
      <w:lvlJc w:val="left"/>
      <w:pPr>
        <w:ind w:left="1833" w:hanging="420"/>
      </w:pPr>
    </w:lvl>
    <w:lvl w:ilvl="2" w:tentative="0">
      <w:start w:val="1"/>
      <w:numFmt w:val="lowerRoman"/>
      <w:lvlText w:val="%3."/>
      <w:lvlJc w:val="right"/>
      <w:pPr>
        <w:ind w:left="2253" w:hanging="420"/>
      </w:pPr>
    </w:lvl>
    <w:lvl w:ilvl="3" w:tentative="0">
      <w:start w:val="1"/>
      <w:numFmt w:val="decimal"/>
      <w:lvlText w:val="%4."/>
      <w:lvlJc w:val="left"/>
      <w:pPr>
        <w:ind w:left="2673" w:hanging="420"/>
      </w:pPr>
    </w:lvl>
    <w:lvl w:ilvl="4" w:tentative="0">
      <w:start w:val="1"/>
      <w:numFmt w:val="lowerLetter"/>
      <w:lvlText w:val="%5)"/>
      <w:lvlJc w:val="left"/>
      <w:pPr>
        <w:ind w:left="3093" w:hanging="420"/>
      </w:pPr>
    </w:lvl>
    <w:lvl w:ilvl="5" w:tentative="0">
      <w:start w:val="1"/>
      <w:numFmt w:val="lowerRoman"/>
      <w:lvlText w:val="%6."/>
      <w:lvlJc w:val="right"/>
      <w:pPr>
        <w:ind w:left="3513" w:hanging="420"/>
      </w:pPr>
    </w:lvl>
    <w:lvl w:ilvl="6" w:tentative="0">
      <w:start w:val="1"/>
      <w:numFmt w:val="decimal"/>
      <w:lvlText w:val="%7."/>
      <w:lvlJc w:val="left"/>
      <w:pPr>
        <w:ind w:left="3933" w:hanging="420"/>
      </w:pPr>
    </w:lvl>
    <w:lvl w:ilvl="7" w:tentative="0">
      <w:start w:val="1"/>
      <w:numFmt w:val="lowerLetter"/>
      <w:lvlText w:val="%8)"/>
      <w:lvlJc w:val="left"/>
      <w:pPr>
        <w:ind w:left="4353" w:hanging="420"/>
      </w:pPr>
    </w:lvl>
    <w:lvl w:ilvl="8" w:tentative="0">
      <w:start w:val="1"/>
      <w:numFmt w:val="lowerRoman"/>
      <w:lvlText w:val="%9."/>
      <w:lvlJc w:val="right"/>
      <w:pPr>
        <w:ind w:left="4773" w:hanging="42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cxZDNmMmNlZWY4MTdhYTQ4NmVhNjBhMGMzMjYzNDAifQ=="/>
  </w:docVars>
  <w:rsids>
    <w:rsidRoot w:val="00BF47AA"/>
    <w:rsid w:val="00081039"/>
    <w:rsid w:val="000D18D0"/>
    <w:rsid w:val="000E7AE4"/>
    <w:rsid w:val="0011798C"/>
    <w:rsid w:val="00160800"/>
    <w:rsid w:val="00177847"/>
    <w:rsid w:val="001D5468"/>
    <w:rsid w:val="00244A22"/>
    <w:rsid w:val="00307686"/>
    <w:rsid w:val="003C4EE9"/>
    <w:rsid w:val="003F7CF7"/>
    <w:rsid w:val="00453808"/>
    <w:rsid w:val="00454331"/>
    <w:rsid w:val="00514795"/>
    <w:rsid w:val="00677F76"/>
    <w:rsid w:val="008B6B80"/>
    <w:rsid w:val="009C38A0"/>
    <w:rsid w:val="009E1E4F"/>
    <w:rsid w:val="00A551E8"/>
    <w:rsid w:val="00A7399D"/>
    <w:rsid w:val="00AE090E"/>
    <w:rsid w:val="00BF47AA"/>
    <w:rsid w:val="00CE5FD9"/>
    <w:rsid w:val="00D108D2"/>
    <w:rsid w:val="00F05205"/>
    <w:rsid w:val="00F205CD"/>
    <w:rsid w:val="00FF37A7"/>
    <w:rsid w:val="25AD1C0A"/>
    <w:rsid w:val="4FC6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80" w:after="80" w:line="240" w:lineRule="auto"/>
      <w:ind w:firstLine="0" w:firstLineChars="0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unhideWhenUsed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字符"/>
    <w:basedOn w:val="8"/>
    <w:link w:val="2"/>
    <w:qFormat/>
    <w:uiPriority w:val="9"/>
    <w:rPr>
      <w:rFonts w:eastAsia="黑体" w:asciiTheme="majorHAnsi" w:hAnsiTheme="majorHAnsi" w:cstheme="majorBidi"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0">
    <w:name w:val="fontstyle01"/>
    <w:basedOn w:val="8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1">
    <w:name w:val="fontstyle21"/>
    <w:basedOn w:val="8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12">
    <w:name w:val="fontstyle11"/>
    <w:basedOn w:val="8"/>
    <w:qFormat/>
    <w:uiPriority w:val="0"/>
    <w:rPr>
      <w:rFonts w:hint="default" w:ascii="Calibri" w:hAnsi="Calibri" w:cs="Calibri"/>
      <w:color w:val="000000"/>
      <w:sz w:val="18"/>
      <w:szCs w:val="18"/>
    </w:rPr>
  </w:style>
  <w:style w:type="character" w:customStyle="1" w:styleId="13">
    <w:name w:val="页眉 字符"/>
    <w:basedOn w:val="8"/>
    <w:link w:val="5"/>
    <w:qFormat/>
    <w:uiPriority w:val="99"/>
    <w:rPr>
      <w:rFonts w:ascii="Times New Roman" w:hAnsi="Times New Roman" w:eastAsia="宋体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14">
    <w:name w:val="页脚 字符"/>
    <w:basedOn w:val="8"/>
    <w:link w:val="4"/>
    <w:qFormat/>
    <w:uiPriority w:val="99"/>
    <w:rPr>
      <w:rFonts w:ascii="Times New Roman" w:hAnsi="Times New Roman" w:eastAsia="宋体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15">
    <w:name w:val="批注框文本 字符"/>
    <w:basedOn w:val="8"/>
    <w:link w:val="3"/>
    <w:semiHidden/>
    <w:uiPriority w:val="99"/>
    <w:rPr>
      <w:rFonts w:ascii="Times New Roman" w:hAnsi="Times New Roman" w:eastAsia="宋体"/>
      <w:color w:val="000000" w:themeColor="text1"/>
      <w:sz w:val="18"/>
      <w:szCs w:val="1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emf"/><Relationship Id="rId12" Type="http://schemas.openxmlformats.org/officeDocument/2006/relationships/package" Target="embeddings/Microsoft_Visio___1.vsdx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1761</Words>
  <Characters>1885</Characters>
  <Lines>15</Lines>
  <Paragraphs>4</Paragraphs>
  <TotalTime>22</TotalTime>
  <ScaleCrop>false</ScaleCrop>
  <LinksUpToDate>false</LinksUpToDate>
  <CharactersWithSpaces>1908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2022-12-01T16:35:00Z</dcterms:created>
  <dc:creator>陈 露垚</dc:creator>
  <cp:lastModifiedBy>残丶穹</cp:lastModifiedBy>
  <cp:lastPrinted>2024-11-20T10:44:00Z</cp:lastPrinted>
  <dcterms:modified xsi:type="dcterms:W3CDTF">2025-12-29T02:34:14Z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CCD04AD5926776C2CAA24067EFDCA3B5_31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eyJoZGlkIjoiYWZkZTk3YWQ5ODRmYmJiZjU5MTg4MjJhYTYzOTNkMDgiLCJ1c2VySWQiOiIyNjE0MzM1NDEifQ==</vt:lpwstr>
  </property>
</Properties>
</file>