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实际光伏组件接收到的辐照强度由直射、漫反射和地面反射三个部分组成。有效辐照度模型如下：</w:t>
      </w:r>
    </w:p>
    <w:p>
      <w:pPr>
        <w:pStyle w:val="BodyText"/>
      </w:pPr>
      <m:oMath>
        <m:sSub>
          <m:e>
            <m:r>
              <m:t>G</m:t>
            </m:r>
          </m:e>
          <m:sub>
            <m:r>
              <m:rPr>
                <m:nor/>
                <m:sty m:val="p"/>
              </m:rPr>
              <m:t>eff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=</m:t>
        </m:r>
        <m:r>
          <m:t>D</m:t>
        </m:r>
        <m:r>
          <m:t>N</m:t>
        </m:r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⋅</m:t>
        </m:r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e>
        </m:d>
        <m:r>
          <m:rPr>
            <m:sty m:val="p"/>
          </m:rPr>
          <m:t>+</m:t>
        </m:r>
        <m:r>
          <m:t>D</m:t>
        </m:r>
        <m:r>
          <m:t>H</m:t>
        </m:r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cos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β</m:t>
                </m:r>
              </m:e>
            </m:d>
          </m:num>
          <m:den>
            <m:r>
              <m:t>2</m:t>
            </m:r>
          </m:den>
        </m:f>
        <m:r>
          <m:rPr>
            <m:sty m:val="p"/>
          </m:rPr>
          <m:t>+</m:t>
        </m:r>
        <m:sSub>
          <m:e>
            <m:r>
              <m:t>ρ</m:t>
            </m:r>
          </m:e>
          <m:sub>
            <m:r>
              <m:t>g</m:t>
            </m:r>
          </m:sub>
        </m:sSub>
        <m:r>
          <m:rPr>
            <m:sty m:val="p"/>
          </m:rPr>
          <m:t>⋅</m:t>
        </m:r>
        <m:r>
          <m:t>G</m:t>
        </m:r>
        <m:r>
          <m:t>H</m:t>
        </m:r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β</m:t>
                </m:r>
              </m:e>
            </m:d>
          </m:num>
          <m:den>
            <m:r>
              <m:t>2</m:t>
            </m:r>
          </m:den>
        </m:f>
      </m:oMath>
    </w:p>
    <w:p>
      <w:pPr>
        <w:pStyle w:val="BodyText"/>
      </w:pPr>
      <w:r>
        <w:t xml:space="preserve">其中：</w:t>
      </w:r>
    </w:p>
    <w:p>
      <w:pPr>
        <w:numPr>
          <w:ilvl w:val="0"/>
          <w:numId w:val="1001"/>
        </w:numPr>
        <w:pStyle w:val="Compact"/>
      </w:pPr>
      <m:oMath>
        <m:r>
          <m:t>D</m:t>
        </m:r>
        <m:r>
          <m:t>N</m:t>
        </m:r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：法向直射辐照度；</w:t>
      </w:r>
    </w:p>
    <w:p>
      <w:pPr>
        <w:numPr>
          <w:ilvl w:val="0"/>
          <w:numId w:val="1001"/>
        </w:numPr>
        <w:pStyle w:val="Compact"/>
      </w:pPr>
      <m:oMath>
        <m:r>
          <m:t>D</m:t>
        </m:r>
        <m:r>
          <m:t>H</m:t>
        </m:r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：水平面散射辐照度；</w:t>
      </w:r>
    </w:p>
    <w:p>
      <w:pPr>
        <w:numPr>
          <w:ilvl w:val="0"/>
          <w:numId w:val="1001"/>
        </w:numPr>
        <w:pStyle w:val="Compact"/>
      </w:pPr>
      <m:oMath>
        <m:r>
          <m:t>G</m:t>
        </m:r>
        <m:r>
          <m:t>H</m:t>
        </m:r>
        <m:r>
          <m:t>I</m:t>
        </m:r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：总水平辐照度；</w:t>
      </w:r>
    </w:p>
    <w:p>
      <w:pPr>
        <w:numPr>
          <w:ilvl w:val="0"/>
          <w:numId w:val="1001"/>
        </w:numPr>
        <w:pStyle w:val="Compact"/>
      </w:pPr>
      <m:oMath>
        <m:sSub>
          <m:e>
            <m:r>
              <m:t>θ</m:t>
            </m:r>
          </m:e>
          <m:sub>
            <m:r>
              <m:t>i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：太阳入射角；</w:t>
      </w:r>
    </w:p>
    <w:p>
      <w:pPr>
        <w:numPr>
          <w:ilvl w:val="0"/>
          <w:numId w:val="1001"/>
        </w:numPr>
        <w:pStyle w:val="Compact"/>
      </w:pPr>
      <m:oMath>
        <m:r>
          <m:t>β</m:t>
        </m:r>
      </m:oMath>
      <w:r>
        <w:t xml:space="preserve">：组件倾角；</w:t>
      </w:r>
    </w:p>
    <w:p>
      <w:pPr>
        <w:numPr>
          <w:ilvl w:val="0"/>
          <w:numId w:val="1001"/>
        </w:numPr>
        <w:pStyle w:val="Compact"/>
      </w:pPr>
      <m:oMath>
        <m:sSub>
          <m:e>
            <m:r>
              <m:t>ρ</m:t>
            </m:r>
          </m:e>
          <m:sub>
            <m:r>
              <m:t>g</m:t>
            </m:r>
          </m:sub>
        </m:sSub>
      </m:oMath>
      <w:r>
        <w:t xml:space="preserve">：地表反射率（一般取</w:t>
      </w:r>
      <w:r>
        <w:t xml:space="preserve"> </w:t>
      </w:r>
      <m:oMath>
        <m:r>
          <m:t>0.2</m:t>
        </m:r>
        <m:r>
          <m:rPr>
            <m:sty m:val="p"/>
          </m:rPr>
          <m:t>∼</m:t>
        </m:r>
        <m:r>
          <m:t>0.3</m:t>
        </m:r>
      </m:oMath>
      <w:r>
        <w:t xml:space="preserve">）。</w:t>
      </w:r>
    </w:p>
    <w:p>
      <w:pPr>
        <w:pStyle w:val="FirstParagraph"/>
      </w:pPr>
      <w:r>
        <w:t xml:space="preserve">入射角计算公式为：</w:t>
      </w:r>
    </w:p>
    <w:p>
      <w:pPr>
        <w:pStyle w:val="BodyText"/>
      </w:pPr>
      <m:oMath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θ</m:t>
                </m:r>
              </m:e>
              <m:sub>
                <m:r>
                  <m:t>z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e>
        </m:d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r>
              <m:t>β</m:t>
            </m:r>
          </m:e>
        </m:d>
        <m:r>
          <m:rPr>
            <m:sty m:val="p"/>
          </m:rPr>
          <m:t>+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θ</m:t>
                </m:r>
              </m:e>
              <m:sub>
                <m:r>
                  <m:t>z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e>
        </m:d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β</m:t>
            </m:r>
          </m:e>
        </m:d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ϕ</m:t>
                </m:r>
              </m:e>
              <m:sub>
                <m:r>
                  <m:t>s</m:t>
                </m:r>
              </m:sub>
            </m:sSub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p</m:t>
                </m:r>
              </m:sub>
            </m:sSub>
          </m:e>
        </m:d>
      </m:oMath>
    </w:p>
    <w:p>
      <w:pPr>
        <w:pStyle w:val="BodyText"/>
      </w:pPr>
      <w:r>
        <w:t xml:space="preserve">其中</w:t>
      </w:r>
      <w:r>
        <w:t xml:space="preserve"> </w:t>
      </w:r>
      <m:oMath>
        <m:sSub>
          <m:e>
            <m:r>
              <m:t>θ</m:t>
            </m:r>
          </m:e>
          <m:sub>
            <m:r>
              <m:t>z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为太阳天顶角，</w:t>
      </w:r>
      <m:oMath>
        <m:sSub>
          <m:e>
            <m:r>
              <m:t>ϕ</m:t>
            </m:r>
          </m:e>
          <m:sub>
            <m:r>
              <m:t>s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为太阳方位角，</w:t>
      </w:r>
      <m:oMath>
        <m:sSub>
          <m:e>
            <m:r>
              <m:t>ϕ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为组件方位角。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2025-05-25T19:08:00Z</dcterms:created>
  <dcterms:modified xsi:type="dcterms:W3CDTF">2025-05-25T19:08:00Z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