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组件工作效率受温度显著影响，尤其是在高辐照条件下组件表面温升明显。由于电池片温度难以直接获得，本文采用以下经验公式，结合气象数据对效率进行动态估计：</w:t>
      </w:r>
    </w:p>
    <w:p>
      <w:pPr>
        <w:pStyle w:val="BodyText"/>
      </w:pPr>
      <m:oMathPara>
        <m:oMathParaPr>
          <m:jc m:val="center"/>
        </m:oMathParaPr>
        <m:oMath>
          <m:r>
            <m:t>η</m:t>
          </m:r>
          <m:d>
            <m:dPr>
              <m:begChr m:val="("/>
              <m:endChr m:val=")"/>
              <m:sepChr m:val=""/>
              <m:grow/>
            </m:dPr>
            <m:e>
              <m:r>
                <m:t>t</m:t>
              </m:r>
            </m:e>
          </m:d>
          <m:r>
            <m:rPr>
              <m:sty m:val="p"/>
            </m:rPr>
            <m:t>=</m:t>
          </m:r>
          <m:sSub>
            <m:e>
              <m:r>
                <m:t>η</m:t>
              </m:r>
            </m:e>
            <m:sub>
              <m:r>
                <m:rPr>
                  <m:nor/>
                  <m:sty m:val="p"/>
                </m:rPr>
                <m:t>ref</m:t>
              </m:r>
            </m:sub>
          </m:sSub>
          <m:r>
            <m:rPr>
              <m:sty m:val="p"/>
            </m:rPr>
            <m:t>⋅</m:t>
          </m:r>
          <m:d>
            <m:dPr>
              <m:begChr m:val="["/>
              <m:endChr m:val="]"/>
              <m:sepChr m:val=""/>
              <m:grow/>
            </m:dPr>
            <m:e>
              <m:r>
                <m:t>1</m:t>
              </m:r>
              <m:r>
                <m:rPr>
                  <m:sty m:val="p"/>
                </m:rPr>
                <m:t>−</m:t>
              </m:r>
              <m:r>
                <m:t>γ</m:t>
              </m:r>
              <m:r>
                <m:rPr>
                  <m:sty m:val="p"/>
                </m:rPr>
                <m:t>⋅</m:t>
              </m:r>
              <m:d>
                <m:dPr>
                  <m:begChr m:val="("/>
                  <m:endChr m:val=")"/>
                  <m:sepChr m:val=""/>
                  <m:grow/>
                </m:dPr>
                <m:e>
                  <m:sSub>
                    <m:e>
                      <m:r>
                        <m:t>T</m:t>
                      </m:r>
                    </m:e>
                    <m:sub>
                      <m:r>
                        <m:rPr>
                          <m:nor/>
                          <m:sty m:val="p"/>
                        </m:rPr>
                        <m:t>air</m:t>
                      </m:r>
                    </m:sub>
                  </m:sSub>
                  <m:d>
                    <m:dPr>
                      <m:begChr m:val="("/>
                      <m:endChr m:val=")"/>
                      <m:sepChr m:val=""/>
                      <m:grow/>
                    </m:dPr>
                    <m:e>
                      <m:r>
                        <m:t>t</m:t>
                      </m:r>
                    </m:e>
                  </m:d>
                  <m:r>
                    <m:rPr>
                      <m:sty m:val="p"/>
                    </m:rPr>
                    <m:t>+</m:t>
                  </m:r>
                  <m:r>
                    <m:t>κ</m:t>
                  </m:r>
                  <m:r>
                    <m:rPr>
                      <m:sty m:val="p"/>
                    </m:rPr>
                    <m:t>⋅</m:t>
                  </m:r>
                  <m:r>
                    <m:t>G</m:t>
                  </m:r>
                  <m:r>
                    <m:t>H</m:t>
                  </m:r>
                  <m:r>
                    <m:t>I</m:t>
                  </m:r>
                  <m:d>
                    <m:dPr>
                      <m:begChr m:val="("/>
                      <m:endChr m:val=")"/>
                      <m:sepChr m:val=""/>
                      <m:grow/>
                    </m:dPr>
                    <m:e>
                      <m:r>
                        <m:t>t</m:t>
                      </m:r>
                    </m:e>
                  </m:d>
                  <m:r>
                    <m:rPr>
                      <m:sty m:val="p"/>
                    </m:rPr>
                    <m:t>−</m:t>
                  </m:r>
                  <m:r>
                    <m:t>25</m:t>
                  </m:r>
                </m:e>
              </m:d>
            </m:e>
          </m:d>
        </m:oMath>
      </m:oMathPara>
    </w:p>
    <w:p>
      <w:pPr>
        <w:pStyle w:val="FirstParagraph"/>
      </w:pPr>
      <w:r>
        <w:t xml:space="preserve">其中：</w:t>
      </w:r>
    </w:p>
    <w:p>
      <w:pPr>
        <w:numPr>
          <w:ilvl w:val="0"/>
          <w:numId w:val="1001"/>
        </w:numPr>
        <w:pStyle w:val="Compact"/>
      </w:pPr>
      <m:oMath>
        <m:sSub>
          <m:e>
            <m:r>
              <m:t>η</m:t>
            </m:r>
          </m:e>
          <m:sub>
            <m:r>
              <m:rPr>
                <m:nor/>
                <m:sty m:val="p"/>
              </m:rPr>
              <m:t>ref</m:t>
            </m:r>
          </m:sub>
        </m:sSub>
        <m:r>
          <m:rPr>
            <m:sty m:val="p"/>
          </m:rPr>
          <m:t>=</m:t>
        </m:r>
        <m:r>
          <m:t>0.18</m:t>
        </m:r>
      </m:oMath>
      <w:r>
        <w:t xml:space="preserve">: 标准测试条件下的参考转换效率;</w:t>
      </w:r>
    </w:p>
    <w:p>
      <w:pPr>
        <w:numPr>
          <w:ilvl w:val="0"/>
          <w:numId w:val="1001"/>
        </w:numPr>
        <w:pStyle w:val="Compact"/>
      </w:pPr>
      <m:oMath>
        <m:r>
          <m:t>γ</m:t>
        </m:r>
        <m:r>
          <m:rPr>
            <m:sty m:val="p"/>
          </m:rPr>
          <m:t>=</m:t>
        </m:r>
        <m:r>
          <m:t>0.0045</m:t>
        </m:r>
      </m:oMath>
      <w:r>
        <w:t xml:space="preserve">: 温度影响系数;</w:t>
      </w:r>
    </w:p>
    <w:p>
      <w:pPr>
        <w:numPr>
          <w:ilvl w:val="0"/>
          <w:numId w:val="1001"/>
        </w:numPr>
        <w:pStyle w:val="Compact"/>
      </w:pPr>
      <m:oMath>
        <m:sSub>
          <m:e>
            <m:r>
              <m:t>T</m:t>
            </m:r>
          </m:e>
          <m:sub>
            <m:r>
              <m:rPr>
                <m:nor/>
                <m:sty m:val="p"/>
              </m:rPr>
              <m:t>air</m:t>
            </m:r>
          </m:sub>
        </m:sSub>
        <m:d>
          <m:dPr>
            <m:begChr m:val="("/>
            <m:endChr m:val=")"/>
            <m:sepChr m:val=""/>
            <m:grow/>
          </m:dPr>
          <m:e>
            <m:r>
              <m:t>t</m:t>
            </m:r>
          </m:e>
        </m:d>
      </m:oMath>
      <w:r>
        <w:t xml:space="preserve">: 时刻</w:t>
      </w:r>
      <w:r>
        <w:t xml:space="preserve"> </w:t>
      </w:r>
      <m:oMath>
        <m:r>
          <m:t>t</m:t>
        </m:r>
      </m:oMath>
      <w:r>
        <w:t xml:space="preserve"> </w:t>
      </w:r>
      <w:r>
        <w:t xml:space="preserve">的环境空气温度;</w:t>
      </w:r>
    </w:p>
    <w:p>
      <w:pPr>
        <w:numPr>
          <w:ilvl w:val="0"/>
          <w:numId w:val="1001"/>
        </w:numPr>
        <w:pStyle w:val="Compact"/>
      </w:pPr>
      <m:oMath>
        <m:r>
          <m:t>κ</m:t>
        </m:r>
        <m:r>
          <m:rPr>
            <m:sty m:val="p"/>
          </m:rPr>
          <m:t>=</m:t>
        </m:r>
        <m:r>
          <m:t>0.03</m:t>
        </m:r>
      </m:oMath>
      <w:r>
        <w:t xml:space="preserve">: 辐照度引起温升的经验系数;</w:t>
      </w:r>
    </w:p>
    <w:p>
      <w:pPr>
        <w:numPr>
          <w:ilvl w:val="0"/>
          <w:numId w:val="1001"/>
        </w:numPr>
        <w:pStyle w:val="Compact"/>
      </w:pPr>
      <m:oMath>
        <m:r>
          <m:t>G</m:t>
        </m:r>
        <m:r>
          <m:t>H</m:t>
        </m:r>
        <m:r>
          <m:t>I</m:t>
        </m:r>
        <m:d>
          <m:dPr>
            <m:begChr m:val="("/>
            <m:endChr m:val=")"/>
            <m:sepChr m:val=""/>
            <m:grow/>
          </m:dPr>
          <m:e>
            <m:r>
              <m:t>t</m:t>
            </m:r>
          </m:e>
        </m:d>
      </m:oMath>
      <w:r>
        <w:t xml:space="preserve">: 全水平面太阳总辐照度;</w:t>
      </w:r>
    </w:p>
    <w:p>
      <w:pPr>
        <w:numPr>
          <w:ilvl w:val="0"/>
          <w:numId w:val="1001"/>
        </w:numPr>
        <w:pStyle w:val="Compact"/>
      </w:pPr>
      <w:r>
        <w:t xml:space="preserve">25 为 STC（标准测试条件）下的基准温度（单位：</w:t>
      </w:r>
      <m:oMath>
        <m:sSup>
          <m:e>
            <m:r>
              <m:t>​</m:t>
            </m:r>
          </m:e>
          <m:sup>
            <m:r>
              <m:rPr>
                <m:sty m:val="p"/>
              </m:rPr>
              <m:t>∘</m:t>
            </m:r>
          </m:sup>
        </m:sSup>
      </m:oMath>
      <w:r>
        <w:t xml:space="preserve">C）。</w:t>
      </w:r>
    </w:p>
    <w:p>
      <w:pPr>
        <w:pStyle w:val="FirstParagraph"/>
      </w:pPr>
      <w:r>
        <w:t xml:space="preserve">该公式综合考虑了空气温度与辐照引起的组件温升对效率的动态调制作用。</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2025-05-25T19:06:16Z</dcterms:created>
  <dcterms:modified xsi:type="dcterms:W3CDTF">2025-05-25T19:06:16Z</dcterms:modified>
</cp:coreProperties>
</file>

<file path=docProps/custom.xml><?xml version="1.0" encoding="utf-8"?>
<Properties xmlns="http://schemas.openxmlformats.org/officeDocument/2006/custom-properties" xmlns:vt="http://schemas.openxmlformats.org/officeDocument/2006/docPropsVTypes"/>
</file>