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60"/>
      </w:pPr>
    </w:p>
    <w:p>
      <w:pPr>
        <w:spacing w:after="120"/>
        <w:jc w:val="center"/>
      </w:pPr>
      <w:r>
        <w:rPr>
          <w:rFonts w:ascii="Times New Roman" w:hAnsi="Times New Roman" w:cs="Times New Roman" w:eastAsia="黑体"/>
          <w:b w:val="0"/>
          <w:sz w:val="42"/>
        </w:rPr>
        <w:t>《文献检索与论文写作》</w:t>
      </w:r>
    </w:p>
    <w:p>
      <w:pPr>
        <w:spacing w:after="360"/>
        <w:jc w:val="center"/>
      </w:pPr>
      <w:r>
        <w:rPr>
          <w:rFonts w:ascii="Times New Roman" w:hAnsi="Times New Roman" w:cs="Times New Roman" w:eastAsia="黑体"/>
          <w:b w:val="0"/>
          <w:sz w:val="46"/>
        </w:rPr>
        <w:t>结课论文</w:t>
      </w:r>
    </w:p>
    <w:p>
      <w:pPr>
        <w:spacing w:before="120" w:after="120"/>
        <w:jc w:val="center"/>
      </w:pPr>
      <w:r>
        <w:rPr>
          <w:rFonts w:ascii="Times New Roman" w:hAnsi="Times New Roman" w:cs="Times New Roman" w:eastAsia="黑体"/>
          <w:sz w:val="28"/>
        </w:rPr>
        <w:t>论文题目</w:t>
      </w:r>
    </w:p>
    <w:p>
      <w:pPr>
        <w:spacing w:after="100"/>
        <w:jc w:val="center"/>
      </w:pPr>
      <w:r>
        <w:rPr>
          <w:rFonts w:ascii="Times New Roman" w:hAnsi="Times New Roman" w:cs="Times New Roman" w:eastAsia="黑体"/>
          <w:sz w:val="32"/>
        </w:rPr>
        <w:t>可溶性fms样酪氨酸激酶-1/胎盘生长因子比值在子痫前期早期预测中的临床检验应用进展</w:t>
      </w:r>
    </w:p>
    <w:p>
      <w:pPr>
        <w:spacing w:after="280"/>
        <w:jc w:val="center"/>
      </w:pPr>
      <w:r>
        <w:rPr>
          <w:rFonts w:ascii="Times New Roman" w:hAnsi="Times New Roman" w:cs="Times New Roman" w:eastAsia="宋体"/>
          <w:i/>
          <w:color w:val="595959"/>
          <w:sz w:val="22"/>
        </w:rPr>
        <w:t>Clinical Laboratory Application of the sFlt-1/PlGF Ratio in Early Prediction of Preeclampsia: A Review</w:t>
      </w:r>
    </w:p>
    <w:tbl>
      <w:tblPr>
        <w:tblW w:type="dxa" w:w="8784"/>
        <w:jc w:val="center"/>
        <w:tblLayout w:type="fixed"/>
        <w:tblLook w:firstColumn="1" w:firstRow="1" w:lastColumn="0" w:lastRow="0" w:noHBand="0" w:noVBand="1" w:val="04A0"/>
      </w:tblPr>
      <w:tblGrid>
        <w:gridCol w:w="2088"/>
        <w:gridCol w:w="6696"/>
      </w:tblGrid>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学院</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生命与健康管理学院</w:t>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专业</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医学检验技术</w:t>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课程</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文献检索与论文写作</w:t>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姓名</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学号</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提交日期</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2026年6月6日</w:t>
            </w:r>
          </w:p>
        </w:tc>
      </w:tr>
    </w:tbl>
    <w:p>
      <w:pPr>
        <w:sectPr>
          <w:headerReference w:type="default" r:id="rId12"/>
          <w:headerReference w:type="first" r:id="rId13"/>
          <w:footerReference w:type="default" r:id="rId14"/>
          <w:footerReference w:type="first" r:id="rId15"/>
          <w:type w:val="nextPage"/>
          <w:pgSz w:w="11906" w:h="16838"/>
          <w:pgMar w:left="1417" w:right="1134" w:gutter="567" w:header="850" w:top="1417" w:footer="992" w:bottom="1417"/>
          <w:pgNumType w:fmt="decimal"/>
          <w:formProt w:val="false"/>
          <w:textDirection w:val="lrTb"/>
          <w:docGrid w:type="linesAndChars" w:linePitch="312" w:charSpace="0"/>
        </w:sectPr>
      </w:pPr>
    </w:p>
    <w:p>
      <w:pPr>
        <w:spacing w:after="400"/>
        <w:jc w:val="center"/>
      </w:pPr>
      <w:r>
        <w:rPr>
          <w:rFonts w:ascii="Times New Roman" w:hAnsi="Times New Roman" w:cs="Times New Roman" w:eastAsia="黑体"/>
          <w:sz w:val="32"/>
        </w:rPr>
        <w:t>目    录</w:t>
      </w:r>
    </w:p>
    <w:p>
      <w:pPr>
        <w:tabs>
          <w:tab w:pos="9128" w:val="right" w:leader="dot"/>
        </w:tabs>
        <w:spacing w:after="140"/>
        <w:ind w:left="0"/>
      </w:pPr>
      <w:r>
        <w:rPr>
          <w:rFonts w:ascii="Times New Roman" w:hAnsi="Times New Roman" w:cs="Times New Roman" w:eastAsia="宋体"/>
          <w:sz w:val="24"/>
        </w:rPr>
        <w:t>摘要</w:t>
      </w:r>
      <w:r>
        <w:tab/>
      </w:r>
      <w:r>
        <w:rPr>
          <w:rFonts w:ascii="Times New Roman" w:hAnsi="Times New Roman" w:cs="Times New Roman" w:eastAsia="宋体"/>
          <w:sz w:val="24"/>
        </w:rPr>
        <w:t>1</w:t>
      </w:r>
    </w:p>
    <w:p>
      <w:pPr>
        <w:tabs>
          <w:tab w:pos="9128" w:val="right" w:leader="dot"/>
        </w:tabs>
        <w:spacing w:after="140"/>
        <w:ind w:left="0"/>
      </w:pPr>
      <w:r>
        <w:rPr>
          <w:rFonts w:ascii="Times New Roman" w:hAnsi="Times New Roman" w:cs="Times New Roman" w:eastAsia="宋体"/>
          <w:sz w:val="24"/>
        </w:rPr>
        <w:t>Abstract</w:t>
      </w:r>
      <w:r>
        <w:tab/>
      </w:r>
      <w:r>
        <w:rPr>
          <w:rFonts w:ascii="Times New Roman" w:hAnsi="Times New Roman" w:cs="Times New Roman" w:eastAsia="宋体"/>
          <w:sz w:val="24"/>
        </w:rPr>
        <w:t>2</w:t>
      </w:r>
    </w:p>
    <w:p>
      <w:pPr>
        <w:tabs>
          <w:tab w:pos="9128" w:val="right" w:leader="dot"/>
        </w:tabs>
        <w:spacing w:after="140"/>
        <w:ind w:left="0"/>
      </w:pPr>
      <w:r>
        <w:rPr>
          <w:rFonts w:ascii="Times New Roman" w:hAnsi="Times New Roman" w:cs="Times New Roman" w:eastAsia="宋体"/>
          <w:sz w:val="24"/>
        </w:rPr>
        <w:t>引言</w:t>
      </w:r>
      <w:r>
        <w:tab/>
      </w:r>
      <w:r>
        <w:rPr>
          <w:rFonts w:ascii="Times New Roman" w:hAnsi="Times New Roman" w:cs="Times New Roman" w:eastAsia="宋体"/>
          <w:sz w:val="24"/>
        </w:rPr>
        <w:t>2</w:t>
      </w:r>
    </w:p>
    <w:p>
      <w:pPr>
        <w:tabs>
          <w:tab w:pos="9128" w:val="right" w:leader="dot"/>
        </w:tabs>
        <w:spacing w:after="140"/>
        <w:ind w:left="227"/>
      </w:pPr>
      <w:r>
        <w:rPr>
          <w:rFonts w:ascii="Times New Roman" w:hAnsi="Times New Roman" w:cs="Times New Roman" w:eastAsia="宋体"/>
          <w:sz w:val="24"/>
        </w:rPr>
        <w:t>1 文献检索策略与筛选过程</w:t>
      </w:r>
      <w:r>
        <w:tab/>
      </w:r>
      <w:r>
        <w:rPr>
          <w:rFonts w:ascii="Times New Roman" w:hAnsi="Times New Roman" w:cs="Times New Roman" w:eastAsia="宋体"/>
          <w:sz w:val="24"/>
        </w:rPr>
        <w:t>4</w:t>
      </w:r>
    </w:p>
    <w:p>
      <w:pPr>
        <w:tabs>
          <w:tab w:pos="9128" w:val="right" w:leader="dot"/>
        </w:tabs>
        <w:spacing w:after="140"/>
        <w:ind w:left="227"/>
      </w:pPr>
      <w:r>
        <w:rPr>
          <w:rFonts w:ascii="Times New Roman" w:hAnsi="Times New Roman" w:cs="Times New Roman" w:eastAsia="宋体"/>
          <w:sz w:val="24"/>
        </w:rPr>
        <w:t>2 子痫前期与血管生成失衡机制</w:t>
      </w:r>
      <w:r>
        <w:tab/>
      </w:r>
      <w:r>
        <w:rPr>
          <w:rFonts w:ascii="Times New Roman" w:hAnsi="Times New Roman" w:cs="Times New Roman" w:eastAsia="宋体"/>
          <w:sz w:val="24"/>
        </w:rPr>
        <w:t>9</w:t>
      </w:r>
    </w:p>
    <w:p>
      <w:pPr>
        <w:tabs>
          <w:tab w:pos="9128" w:val="right" w:leader="dot"/>
        </w:tabs>
        <w:spacing w:after="140"/>
        <w:ind w:left="227"/>
      </w:pPr>
      <w:r>
        <w:rPr>
          <w:rFonts w:ascii="Times New Roman" w:hAnsi="Times New Roman" w:cs="Times New Roman" w:eastAsia="宋体"/>
          <w:sz w:val="24"/>
        </w:rPr>
        <w:t>3 sFlt-1/PlGF 比值的检测原理与方法学特点</w:t>
      </w:r>
      <w:r>
        <w:tab/>
      </w:r>
      <w:r>
        <w:rPr>
          <w:rFonts w:ascii="Times New Roman" w:hAnsi="Times New Roman" w:cs="Times New Roman" w:eastAsia="宋体"/>
          <w:sz w:val="24"/>
        </w:rPr>
        <w:t>12</w:t>
      </w:r>
    </w:p>
    <w:p>
      <w:pPr>
        <w:tabs>
          <w:tab w:pos="9128" w:val="right" w:leader="dot"/>
        </w:tabs>
        <w:spacing w:after="140"/>
        <w:ind w:left="227"/>
      </w:pPr>
      <w:r>
        <w:rPr>
          <w:rFonts w:ascii="Times New Roman" w:hAnsi="Times New Roman" w:cs="Times New Roman" w:eastAsia="宋体"/>
          <w:sz w:val="24"/>
        </w:rPr>
        <w:t>4 sFlt-1/PlGF 比值在早期预测和辅助诊断中的证据</w:t>
      </w:r>
      <w:r>
        <w:tab/>
      </w:r>
      <w:r>
        <w:rPr>
          <w:rFonts w:ascii="Times New Roman" w:hAnsi="Times New Roman" w:cs="Times New Roman" w:eastAsia="宋体"/>
          <w:sz w:val="24"/>
        </w:rPr>
        <w:t>16</w:t>
      </w:r>
    </w:p>
    <w:p>
      <w:pPr>
        <w:tabs>
          <w:tab w:pos="9128" w:val="right" w:leader="dot"/>
        </w:tabs>
        <w:spacing w:after="140"/>
        <w:ind w:left="227"/>
      </w:pPr>
      <w:r>
        <w:rPr>
          <w:rFonts w:ascii="Times New Roman" w:hAnsi="Times New Roman" w:cs="Times New Roman" w:eastAsia="宋体"/>
          <w:sz w:val="24"/>
        </w:rPr>
        <w:t>5 临床应用局限、影响因素与质量控制</w:t>
      </w:r>
      <w:r>
        <w:tab/>
      </w:r>
      <w:r>
        <w:rPr>
          <w:rFonts w:ascii="Times New Roman" w:hAnsi="Times New Roman" w:cs="Times New Roman" w:eastAsia="宋体"/>
          <w:sz w:val="24"/>
        </w:rPr>
        <w:t>27</w:t>
      </w:r>
    </w:p>
    <w:p>
      <w:pPr>
        <w:tabs>
          <w:tab w:pos="9128" w:val="right" w:leader="dot"/>
        </w:tabs>
        <w:spacing w:after="140"/>
        <w:ind w:left="227"/>
      </w:pPr>
      <w:r>
        <w:rPr>
          <w:rFonts w:ascii="Times New Roman" w:hAnsi="Times New Roman" w:cs="Times New Roman" w:eastAsia="宋体"/>
          <w:sz w:val="24"/>
        </w:rPr>
        <w:t>6 文献检索与论文写作反思</w:t>
      </w:r>
      <w:r>
        <w:tab/>
      </w:r>
      <w:r>
        <w:rPr>
          <w:rFonts w:ascii="Times New Roman" w:hAnsi="Times New Roman" w:cs="Times New Roman" w:eastAsia="宋体"/>
          <w:sz w:val="24"/>
        </w:rPr>
        <w:t>35</w:t>
      </w:r>
    </w:p>
    <w:p>
      <w:pPr>
        <w:tabs>
          <w:tab w:pos="9128" w:val="right" w:leader="dot"/>
        </w:tabs>
        <w:spacing w:after="140"/>
        <w:ind w:left="0"/>
      </w:pPr>
      <w:r>
        <w:rPr>
          <w:rFonts w:ascii="Times New Roman" w:hAnsi="Times New Roman" w:cs="Times New Roman" w:eastAsia="宋体"/>
          <w:sz w:val="24"/>
        </w:rPr>
        <w:t>结论</w:t>
      </w:r>
      <w:r>
        <w:tab/>
      </w:r>
      <w:r>
        <w:rPr>
          <w:rFonts w:ascii="Times New Roman" w:hAnsi="Times New Roman" w:cs="Times New Roman" w:eastAsia="宋体"/>
          <w:sz w:val="24"/>
        </w:rPr>
        <w:t>37</w:t>
      </w:r>
    </w:p>
    <w:p>
      <w:pPr>
        <w:tabs>
          <w:tab w:pos="9128" w:val="right" w:leader="dot"/>
        </w:tabs>
        <w:spacing w:after="140"/>
        <w:ind w:left="0"/>
      </w:pPr>
      <w:r>
        <w:rPr>
          <w:rFonts w:ascii="Times New Roman" w:hAnsi="Times New Roman" w:cs="Times New Roman" w:eastAsia="宋体"/>
          <w:sz w:val="24"/>
        </w:rPr>
        <w:t>参考文献</w:t>
      </w:r>
      <w:r>
        <w:tab/>
      </w:r>
      <w:r>
        <w:rPr>
          <w:rFonts w:ascii="Times New Roman" w:hAnsi="Times New Roman" w:cs="Times New Roman" w:eastAsia="宋体"/>
          <w:sz w:val="24"/>
        </w:rPr>
        <w:t>38</w:t>
      </w:r>
    </w:p>
    <w:p>
      <w:pPr>
        <w:sectPr>
          <w:headerReference w:type="default" r:id="rId21"/>
          <w:footerReference w:type="default" r:id="rId22"/>
          <w:pgSz w:w="11906" w:h="16838"/>
          <w:pgMar w:left="1417" w:right="1134" w:gutter="567" w:header="850" w:top="1417" w:footer="992" w:bottom="1417"/>
          <w:pgNumType w:fmt="decimal"/>
          <w:formProt w:val="false"/>
          <w:textDirection w:val="lrTb"/>
          <w:docGrid w:type="linesAndChars" w:linePitch="312" w:charSpace="0"/>
        </w:sectPr>
      </w:pPr>
    </w:p>
    <w:p>
      <w:pPr>
        <w:pStyle w:val="Heading1"/>
        <w:keepNext/>
        <w:spacing w:before="280" w:after="200"/>
        <w:jc w:val="center"/>
      </w:pPr>
      <w:r>
        <w:rPr>
          <w:rFonts w:ascii="Times New Roman" w:hAnsi="Times New Roman" w:cs="Times New Roman" w:eastAsia="黑体"/>
          <w:b w:val="0"/>
          <w:sz w:val="32"/>
        </w:rPr>
        <w:t>摘要</w:t>
      </w:r>
    </w:p>
    <w:p>
      <w:pPr>
        <w:spacing w:line="360" w:lineRule="auto" w:before="0" w:after="0"/>
        <w:ind w:firstLine="480"/>
        <w:jc w:val="both"/>
      </w:pPr>
      <w:r>
        <w:rPr>
          <w:rFonts w:ascii="Times New Roman" w:hAnsi="Times New Roman" w:cs="Times New Roman" w:eastAsia="宋体"/>
          <w:sz w:val="24"/>
        </w:rPr>
        <w:t>子痫前期是妊娠期重要并发症之一，早期识别和风险分层对降低母婴不良结局具有重要意义。传统评估主要依赖血压、蛋白尿、临床症状及常规实验室指标，但在疾病早期、症状不典型或合并其他疾病时，单纯临床判断可能存在延迟和不确定性。可溶性 fms 样酪氨酸激酶-1（soluble fms-like tyrosine kinase-1，sFlt-1）与胎盘生长因子（placental growth factor，PlGF）分别反映抗血管生成和促血管生成状态，其比值能够在一定程度上反映子痫前期相关的血管生成失衡。本文围绕 sFlt-1/PlGF 比值在子痫前期早期预测中的临床检验应用，检索 PubMed、NICE 指南、ISSHP 指南及中文数据库线索，重点纳入指南、系统综述、Meta 分析、多中心前瞻性研究和中文临床研究。现有证据显示，sFlt-1/PlGF 比值在疑似子痫前期孕妇中具有较高的短期排除价值，PROGNOSIS 研究中比值 ≤38 对 1 周内无子痫前期的阴性预测值达 99.3%；2025 年系统综述与 Meta 分析显示，sFlt-1/PlGF 比值预测子痫前期的 AUC 为 0.92，高于单项 sFlt-1 或 PlGF。该指标的应用仍受孕周、检测平台、截断值、人群差异和临床路径影响，不能替代完整临床评估。医学检验人员应重视样本质量、平台差异、室内质控、报告解释和临床沟通，使该比值更好服务于子痫前期的早期预测、短期排除和风险分层。</w:t>
      </w:r>
    </w:p>
    <w:p>
      <w:pPr>
        <w:spacing w:before="80" w:after="160" w:line="312" w:lineRule="auto"/>
      </w:pPr>
      <w:r>
        <w:rPr>
          <w:rFonts w:ascii="Times New Roman" w:hAnsi="Times New Roman" w:cs="Times New Roman" w:eastAsia="宋体"/>
          <w:b/>
          <w:sz w:val="24"/>
        </w:rPr>
        <w:t>关键词：</w:t>
      </w:r>
      <w:r>
        <w:rPr>
          <w:rFonts w:ascii="Times New Roman" w:hAnsi="Times New Roman" w:cs="Times New Roman" w:eastAsia="宋体"/>
          <w:sz w:val="24"/>
        </w:rPr>
        <w:t>子痫前期；sFlt-1；PlGF；sFlt-1/PlGF 比值；早期预测；临床检验</w:t>
      </w:r>
    </w:p>
    <w:p>
      <w:pPr>
        <w:pStyle w:val="Heading1"/>
        <w:keepNext/>
        <w:spacing w:before="280" w:after="200"/>
        <w:jc w:val="center"/>
      </w:pPr>
      <w:r>
        <w:rPr>
          <w:rFonts w:ascii="Times New Roman" w:hAnsi="Times New Roman" w:cs="Times New Roman" w:eastAsia="黑体"/>
          <w:b w:val="0"/>
          <w:sz w:val="32"/>
        </w:rPr>
        <w:t>Abstract</w:t>
      </w:r>
    </w:p>
    <w:p>
      <w:pPr>
        <w:spacing w:line="360" w:lineRule="auto" w:before="0" w:after="0"/>
        <w:ind w:firstLine="480"/>
        <w:jc w:val="both"/>
      </w:pPr>
      <w:r>
        <w:rPr>
          <w:rFonts w:ascii="Times New Roman" w:hAnsi="Times New Roman" w:cs="Times New Roman" w:eastAsia="宋体"/>
          <w:sz w:val="24"/>
        </w:rPr>
        <w:t>Preeclampsia is an important pregnancy complication, and early prediction and risk stratification are essential for reducing adverse maternal and perinatal outcomes. Conventional assessment mainly depends on blood pressure, proteinuria, clinical symptoms and routine laboratory tests, but uncertainty may remain in early or atypical cases. Soluble fms-like tyrosine kinase-1 (sFlt-1) and placental growth factor (PlGF) reflect anti-angiogenic and pro-angiogenic status, respectively, and the sFlt-1/PlGF ratio may indicate angiogenic imbalance related to preeclampsia. This review focuses on the clinical laboratory application of the sFlt-1/PlGF ratio in early prediction of preeclampsia. PubMed, NICE guidance, ISSHP guidelines and Chinese literature sources were searched, with emphasis on guidelines, systematic reviews, meta-analyses, prospective studies and clinical studies. Current evidence suggests that the sFlt-1/PlGF ratio is particularly useful for short-term rule-out in women with suspected preeclampsia. In the PROGNOSIS study, a ratio of 38 or lower had a negative predictive value of 99.3% for ruling out preeclampsia within one week. A 2025 systematic review and meta-analysis reported an AUC of 0.92 for the sFlt-1/PlGF ratio, higher than that of sFlt-1 or PlGF alone. However, interpretation is affected by gestational age, assay platform, cut-off values and population differences. The ratio should therefore be used as an adjunct to clinical assessment, with careful attention to quality control and result interpretation.</w:t>
      </w:r>
    </w:p>
    <w:p>
      <w:pPr>
        <w:spacing w:before="80" w:after="160" w:line="312" w:lineRule="auto"/>
      </w:pPr>
      <w:r>
        <w:rPr>
          <w:rFonts w:ascii="Times New Roman" w:hAnsi="Times New Roman" w:cs="Times New Roman" w:eastAsia="宋体"/>
          <w:b/>
          <w:sz w:val="24"/>
        </w:rPr>
        <w:t xml:space="preserve">Keywords: </w:t>
      </w:r>
      <w:r>
        <w:rPr>
          <w:rFonts w:ascii="Times New Roman" w:hAnsi="Times New Roman" w:cs="Times New Roman" w:eastAsia="宋体"/>
          <w:sz w:val="24"/>
        </w:rPr>
        <w:t xml:space="preserve"> preeclampsia; sFlt-1; PlGF; sFlt-1/PlGF ratio; early prediction; clinical laboratory</w:t>
      </w:r>
    </w:p>
    <w:p>
      <w:pPr>
        <w:pStyle w:val="Heading1"/>
        <w:keepNext/>
        <w:spacing w:before="280" w:after="200"/>
        <w:jc w:val="center"/>
      </w:pPr>
      <w:r>
        <w:rPr>
          <w:rFonts w:ascii="Times New Roman" w:hAnsi="Times New Roman" w:cs="Times New Roman" w:eastAsia="黑体"/>
          <w:b w:val="0"/>
          <w:sz w:val="32"/>
        </w:rPr>
        <w:t>引言</w:t>
      </w:r>
    </w:p>
    <w:p>
      <w:pPr>
        <w:spacing w:line="360" w:lineRule="auto" w:before="0" w:after="0"/>
        <w:ind w:firstLine="480"/>
        <w:jc w:val="both"/>
      </w:pPr>
      <w:r>
        <w:rPr>
          <w:rFonts w:ascii="Times New Roman" w:hAnsi="Times New Roman" w:cs="Times New Roman" w:eastAsia="宋体"/>
          <w:sz w:val="24"/>
        </w:rPr>
        <w:t>子痫前期是妊娠期高血压疾病中的重要类型，可累及母体心血管、肾脏、肝脏、凝血系统和胎盘功能，并与胎儿生长受限、早产、胎盘早剥等不良结局密切相关。对于临床而言，子痫前期的难点不仅在于诊断已经出现明显表现的病例，更在于如何在疑似或高风险孕妇中尽早识别未来短期内可能进展的个体，同时避免对低风险孕妇进行不必要住院、重复检查或过度干预。因此，具有可靠预测价值、能够与临床评估互补的实验室指标，是医学检验与产科管理共同关注的问题。</w:t>
      </w:r>
    </w:p>
    <w:p>
      <w:pPr>
        <w:spacing w:line="360" w:lineRule="auto" w:before="0" w:after="0"/>
        <w:ind w:firstLine="480"/>
        <w:jc w:val="both"/>
      </w:pPr>
      <w:r>
        <w:rPr>
          <w:rFonts w:ascii="Times New Roman" w:hAnsi="Times New Roman" w:cs="Times New Roman" w:eastAsia="宋体"/>
          <w:sz w:val="24"/>
        </w:rPr>
        <w:t>传统子痫前期评估主要依赖血压、蛋白尿、症状体征以及血小板、肝肾功能等常规实验室指标。这些指标对于诊断和病情评估具有基础价值，但在疾病早期或症状不典型时，可能难以及时反映胎盘源性病理改变。近年来，胎盘血管生成因子失衡逐渐成为子痫前期机制研究和临床转化的重点。sFlt-1 属于抗血管生成相关因子，PlGF 属于促血管生成相关因子，二者水平变化可在临床表现出现前发生。与单独检测 sFlt-1 或 PlGF 相比，sFlt-1/PlGF 比值能够同时整合抗血管生成增强和促血管生成下降两方面信息，因此被认为更适合用于风险分层和短期预测。</w:t>
      </w:r>
    </w:p>
    <w:p>
      <w:pPr>
        <w:spacing w:line="360" w:lineRule="auto" w:before="0" w:after="0"/>
        <w:ind w:firstLine="480"/>
        <w:jc w:val="both"/>
      </w:pPr>
      <w:r>
        <w:rPr>
          <w:rFonts w:ascii="Times New Roman" w:hAnsi="Times New Roman" w:cs="Times New Roman" w:eastAsia="宋体"/>
          <w:sz w:val="24"/>
        </w:rPr>
        <w:t>国际指南和高水平研究为该指标的临床应用提供了较明确的方向。NICE 在 PLGF-based testing 指导中建议，将 DELFIA Xpress PLGF 1-2-3、DELFIA Xpress sFlt-1/PLGF 1-2-3 ratio、Elecsys sFlt-1/PLGF ratio 和 Triage PLGF Test 与标准临床评估联合使用，用于疑似早产期子痫前期孕妇的 rule-in 或 rule-out 判断[1]。PROGNOSIS 多中心前瞻性研究显示，在疑似子痫前期的单胎孕妇中，sFlt-1:PlGF 比值 ≤38 对 1 周内无子痫前期具有很高阴性预测价值[2]。2025 年系统综述与 Meta 分析进一步显示，sFlt-1/PlGF 比值的综合预测性能优于单项 sFlt-1 或 PlGF[3]。</w:t>
      </w:r>
    </w:p>
    <w:p>
      <w:pPr>
        <w:spacing w:line="360" w:lineRule="auto" w:before="0" w:after="0"/>
        <w:ind w:firstLine="480"/>
        <w:jc w:val="both"/>
      </w:pPr>
      <w:r>
        <w:rPr>
          <w:rFonts w:ascii="Times New Roman" w:hAnsi="Times New Roman" w:cs="Times New Roman" w:eastAsia="宋体"/>
          <w:sz w:val="24"/>
        </w:rPr>
        <w:t>从医学检验技术专业角度看，sFlt-1/PlGF 比值的价值并不只是“多一个检测项目”。其真正意义在于将胎盘血管生成失衡这一病理过程转化为可测量、可报告、可解释并可与临床路径衔接的检验结果。检验人员需要关注样本类型、检测平台、质量控制、截断值适用范围、报告备注以及与产科医生的沟通方式。若忽视孕周、人群、平台和临床背景差异，单一数值可能被误读，甚至导致过度诊断或过度干预。因此，本文拟围绕 sFlt-1/PlGF 比值在子痫前期早期预测中的应用证据、方法学特点、临床解释和局限性进行综述，以期为医学检验人员理解和应用该指标提供参考。</w:t>
      </w:r>
    </w:p>
    <w:p>
      <w:pPr>
        <w:pStyle w:val="Heading1"/>
        <w:keepNext/>
        <w:jc w:val="left"/>
      </w:pPr>
      <w:r>
        <w:rPr>
          <w:rFonts w:ascii="Times New Roman" w:hAnsi="Times New Roman" w:cs="Times New Roman" w:eastAsia="黑体"/>
          <w:b w:val="0"/>
          <w:sz w:val="32"/>
        </w:rPr>
        <w:t>1 文献检索策略与筛选过程</w:t>
      </w:r>
    </w:p>
    <w:p>
      <w:pPr>
        <w:pStyle w:val="Heading2"/>
        <w:keepNext/>
        <w:jc w:val="left"/>
      </w:pPr>
      <w:r>
        <w:rPr>
          <w:rFonts w:ascii="Times New Roman" w:hAnsi="Times New Roman" w:cs="Times New Roman" w:eastAsia="黑体"/>
          <w:b w:val="0"/>
          <w:sz w:val="28"/>
        </w:rPr>
        <w:t>1.1 检索目的</w:t>
      </w:r>
    </w:p>
    <w:p>
      <w:pPr>
        <w:spacing w:line="360" w:lineRule="auto" w:before="0" w:after="0"/>
        <w:ind w:firstLine="480"/>
        <w:jc w:val="both"/>
      </w:pPr>
      <w:r>
        <w:rPr>
          <w:rFonts w:ascii="Times New Roman" w:hAnsi="Times New Roman" w:cs="Times New Roman" w:eastAsia="宋体"/>
          <w:sz w:val="24"/>
        </w:rPr>
        <w:t>本次文献检索的目的，是围绕“sFlt-1/PlGF 比值在子痫前期早期预测中的临床检验应用”建立较完整的证据基础。检索不只关注指标是否“有统计学差异”，还重点关注四类问题：第一，sFlt-1/PlGF 比值与子痫前期血管生成失衡机制的关系；第二，该比值在疑似或高风险孕妇中用于短期排除、辅助诊断和风险分层的证据强度；第三，不同检测平台、孕周范围、截断值和人群差异对结果解释的影响；第四，医学检验人员在样本处理、质量控制、报告解释和临床沟通中应注意的问题。</w:t>
      </w:r>
    </w:p>
    <w:p>
      <w:pPr>
        <w:pStyle w:val="Heading2"/>
        <w:keepNext/>
        <w:jc w:val="left"/>
      </w:pPr>
      <w:r>
        <w:rPr>
          <w:rFonts w:ascii="Times New Roman" w:hAnsi="Times New Roman" w:cs="Times New Roman" w:eastAsia="黑体"/>
          <w:b w:val="0"/>
          <w:sz w:val="28"/>
        </w:rPr>
        <w:t>1.2 数据库与信息来源</w:t>
      </w:r>
    </w:p>
    <w:p>
      <w:pPr>
        <w:spacing w:line="360" w:lineRule="auto" w:before="0" w:after="0"/>
        <w:ind w:firstLine="480"/>
        <w:jc w:val="both"/>
      </w:pPr>
      <w:r>
        <w:rPr>
          <w:rFonts w:ascii="Times New Roman" w:hAnsi="Times New Roman" w:cs="Times New Roman" w:eastAsia="宋体"/>
          <w:sz w:val="24"/>
        </w:rPr>
        <w:t>英文来源主要包括 PubMed、NICE guidance、ISSHP guideline、ScienceDirect 期刊页面和相关 PubMed 索引。中文来源主要包括中国知网、万方、维普、中国生物医学文献服务系统 SinoMed 线索，以及可直接访问的中文期刊官网页面。考虑到课程论文强调文献检索与论文写作能力，本项目同时建立了 `LITERATURE_SEARCH_RECORD.md`、`EVIDENCE_MATRIX.md` 和 `CORE_LITERATURE_NOTES.md`，分别记录检索式与结果、核心证据矩阵、精读文献的可引用论点。</w:t>
      </w:r>
    </w:p>
    <w:p>
      <w:pPr>
        <w:pStyle w:val="Heading2"/>
        <w:keepNext/>
        <w:jc w:val="left"/>
      </w:pPr>
      <w:r>
        <w:rPr>
          <w:rFonts w:ascii="Times New Roman" w:hAnsi="Times New Roman" w:cs="Times New Roman" w:eastAsia="黑体"/>
          <w:b w:val="0"/>
          <w:sz w:val="28"/>
        </w:rPr>
        <w:t>1.3 检索式</w:t>
      </w:r>
    </w:p>
    <w:p>
      <w:pPr>
        <w:spacing w:line="360" w:lineRule="auto" w:before="0" w:after="0"/>
        <w:ind w:firstLine="480"/>
        <w:jc w:val="both"/>
      </w:pPr>
      <w:r>
        <w:rPr>
          <w:rFonts w:ascii="Times New Roman" w:hAnsi="Times New Roman" w:cs="Times New Roman" w:eastAsia="宋体"/>
          <w:sz w:val="24"/>
        </w:rPr>
        <w:t>英文检索以 preeclampsia、pre-eclampsia、soluble fms-like tyrosine kinase-1、sFlt-1、placental growth factor、PlGF、sFlt-1/PlGF ratio、prediction、diagnosis、clinical utility 等为关键词。PubMed 宽检索式为：</w:t>
      </w:r>
    </w:p>
    <w:tbl>
      <w:tblPr>
        <w:tblW w:type="dxa" w:w="9360"/>
        <w:jc w:val="center"/>
        <w:tblLayout w:type="fixed"/>
        <w:tblLook w:firstColumn="1" w:firstRow="1" w:lastColumn="0" w:lastRow="0" w:noHBand="0" w:noVBand="1" w:val="04A0"/>
      </w:tblPr>
      <w:tblGrid>
        <w:gridCol w:w="9360"/>
      </w:tblGrid>
      <w:tr>
        <w:trPr>
          <w:trHeight w:hRule="auto"/>
        </w:trPr>
        <w:tc>
          <w:tcPr>
            <w:tcW w:type="dxa" w:w="9360"/>
            <w:shd w:fill="F5F7FA"/>
            <w:tcBorders>
              <w:top w:val="single" w:sz="4" w:color="D9DEE7"/>
              <w:left w:val="single" w:sz="4" w:color="D9DEE7"/>
              <w:bottom w:val="single" w:sz="4" w:color="D9DEE7"/>
              <w:right w:val="single" w:sz="4" w:color="D9DEE7"/>
            </w:tcBorders>
            <w:tcMar>
              <w:top w:w="100" w:type="dxa"/>
              <w:start w:w="130" w:type="dxa"/>
              <w:bottom w:w="100" w:type="dxa"/>
              <w:end w:w="130" w:type="dxa"/>
            </w:tcMar>
          </w:tcPr>
          <w:p>
            <w:pPr>
              <w:pStyle w:val="CourseCode"/>
            </w:pPr>
            <w:r/>
            <w:r>
              <w:rPr>
                <w:rFonts w:ascii="Courier New" w:hAnsi="Courier New" w:cs="Courier New" w:eastAsia="宋体"/>
                <w:sz w:val="18"/>
              </w:rPr>
              <w:t>("sFlt-1/PlGF ratio" OR "sFlt-1:PlGF ratio" OR "soluble fms-like tyrosine kinase-1" OR "placental growth factor") AND (preeclampsia OR pre-eclampsia)</w:t>
            </w:r>
          </w:p>
        </w:tc>
      </w:tr>
    </w:tbl>
    <w:p>
      <w:pPr>
        <w:spacing w:after="80"/>
      </w:pPr>
    </w:p>
    <w:p>
      <w:pPr>
        <w:spacing w:line="360" w:lineRule="auto" w:before="0" w:after="0"/>
        <w:ind w:firstLine="480"/>
        <w:jc w:val="both"/>
      </w:pPr>
      <w:r>
        <w:rPr>
          <w:rFonts w:ascii="Times New Roman" w:hAnsi="Times New Roman" w:cs="Times New Roman" w:eastAsia="宋体"/>
          <w:sz w:val="24"/>
        </w:rPr>
        <w:t>为提高系统综述和 Meta 分析的识别效率，进一步使用：</w:t>
      </w:r>
    </w:p>
    <w:tbl>
      <w:tblPr>
        <w:tblW w:type="dxa" w:w="9360"/>
        <w:jc w:val="center"/>
        <w:tblLayout w:type="fixed"/>
        <w:tblLook w:firstColumn="1" w:firstRow="1" w:lastColumn="0" w:lastRow="0" w:noHBand="0" w:noVBand="1" w:val="04A0"/>
      </w:tblPr>
      <w:tblGrid>
        <w:gridCol w:w="9360"/>
      </w:tblGrid>
      <w:tr>
        <w:trPr>
          <w:trHeight w:hRule="auto"/>
        </w:trPr>
        <w:tc>
          <w:tcPr>
            <w:tcW w:type="dxa" w:w="9360"/>
            <w:shd w:fill="F5F7FA"/>
            <w:tcBorders>
              <w:top w:val="single" w:sz="4" w:color="D9DEE7"/>
              <w:left w:val="single" w:sz="4" w:color="D9DEE7"/>
              <w:bottom w:val="single" w:sz="4" w:color="D9DEE7"/>
              <w:right w:val="single" w:sz="4" w:color="D9DEE7"/>
            </w:tcBorders>
            <w:tcMar>
              <w:top w:w="100" w:type="dxa"/>
              <w:start w:w="130" w:type="dxa"/>
              <w:bottom w:w="100" w:type="dxa"/>
              <w:end w:w="130" w:type="dxa"/>
            </w:tcMar>
          </w:tcPr>
          <w:p>
            <w:pPr>
              <w:pStyle w:val="CourseCode"/>
            </w:pPr>
            <w:r/>
            <w:r>
              <w:rPr>
                <w:rFonts w:ascii="Courier New" w:hAnsi="Courier New" w:cs="Courier New" w:eastAsia="宋体"/>
                <w:sz w:val="18"/>
              </w:rPr>
              <w:t>("sFlt-1/PlGF" OR "PlGF") AND (preeclampsia OR pre-eclampsia) AND (systematic review OR meta-analysis)</w:t>
            </w:r>
          </w:p>
        </w:tc>
      </w:tr>
    </w:tbl>
    <w:p>
      <w:pPr>
        <w:spacing w:after="80"/>
      </w:pPr>
    </w:p>
    <w:p>
      <w:pPr>
        <w:spacing w:line="360" w:lineRule="auto" w:before="0" w:after="0"/>
        <w:ind w:firstLine="480"/>
        <w:jc w:val="both"/>
      </w:pPr>
      <w:r>
        <w:rPr>
          <w:rFonts w:ascii="Times New Roman" w:hAnsi="Times New Roman" w:cs="Times New Roman" w:eastAsia="宋体"/>
          <w:sz w:val="24"/>
        </w:rPr>
        <w:t>为寻找临床应用和实施研究，使用：</w:t>
      </w:r>
    </w:p>
    <w:tbl>
      <w:tblPr>
        <w:tblW w:type="dxa" w:w="9360"/>
        <w:jc w:val="center"/>
        <w:tblLayout w:type="fixed"/>
        <w:tblLook w:firstColumn="1" w:firstRow="1" w:lastColumn="0" w:lastRow="0" w:noHBand="0" w:noVBand="1" w:val="04A0"/>
      </w:tblPr>
      <w:tblGrid>
        <w:gridCol w:w="9360"/>
      </w:tblGrid>
      <w:tr>
        <w:trPr>
          <w:trHeight w:hRule="auto"/>
        </w:trPr>
        <w:tc>
          <w:tcPr>
            <w:tcW w:type="dxa" w:w="9360"/>
            <w:shd w:fill="F5F7FA"/>
            <w:tcBorders>
              <w:top w:val="single" w:sz="4" w:color="D9DEE7"/>
              <w:left w:val="single" w:sz="4" w:color="D9DEE7"/>
              <w:bottom w:val="single" w:sz="4" w:color="D9DEE7"/>
              <w:right w:val="single" w:sz="4" w:color="D9DEE7"/>
            </w:tcBorders>
            <w:tcMar>
              <w:top w:w="100" w:type="dxa"/>
              <w:start w:w="130" w:type="dxa"/>
              <w:bottom w:w="100" w:type="dxa"/>
              <w:end w:w="130" w:type="dxa"/>
            </w:tcMar>
          </w:tcPr>
          <w:p>
            <w:pPr>
              <w:pStyle w:val="CourseCode"/>
            </w:pPr>
            <w:r/>
            <w:r>
              <w:rPr>
                <w:rFonts w:ascii="Courier New" w:hAnsi="Courier New" w:cs="Courier New" w:eastAsia="宋体"/>
                <w:sz w:val="18"/>
              </w:rPr>
              <w:t>("sFlt-1/PlGF ratio") AND (preeclampsia OR pre-eclampsia) AND (clinical utility OR implementation OR decision-making OR rule out)</w:t>
            </w:r>
          </w:p>
        </w:tc>
      </w:tr>
    </w:tbl>
    <w:p>
      <w:pPr>
        <w:spacing w:after="80"/>
      </w:pPr>
    </w:p>
    <w:p>
      <w:pPr>
        <w:spacing w:line="360" w:lineRule="auto" w:before="0" w:after="0"/>
        <w:ind w:firstLine="480"/>
        <w:jc w:val="both"/>
      </w:pPr>
      <w:r>
        <w:rPr>
          <w:rFonts w:ascii="Times New Roman" w:hAnsi="Times New Roman" w:cs="Times New Roman" w:eastAsia="宋体"/>
          <w:sz w:val="24"/>
        </w:rPr>
        <w:t>中文检索以“子痫前期”“妊娠期高血压疾病”“可溶性 fms 样酪氨酸激酶-1”“sFlt-1”“胎盘生长因子”“PlGF”“sFlt-1/PlGF 比值”“早期预测”“辅助诊断”“临床检验”等为关键词。示例检索式为：</w:t>
      </w:r>
    </w:p>
    <w:tbl>
      <w:tblPr>
        <w:tblW w:type="dxa" w:w="9360"/>
        <w:jc w:val="center"/>
        <w:tblLayout w:type="fixed"/>
        <w:tblLook w:firstColumn="1" w:firstRow="1" w:lastColumn="0" w:lastRow="0" w:noHBand="0" w:noVBand="1" w:val="04A0"/>
      </w:tblPr>
      <w:tblGrid>
        <w:gridCol w:w="9360"/>
      </w:tblGrid>
      <w:tr>
        <w:trPr>
          <w:trHeight w:hRule="auto"/>
        </w:trPr>
        <w:tc>
          <w:tcPr>
            <w:tcW w:type="dxa" w:w="9360"/>
            <w:shd w:fill="F5F7FA"/>
            <w:tcBorders>
              <w:top w:val="single" w:sz="4" w:color="D9DEE7"/>
              <w:left w:val="single" w:sz="4" w:color="D9DEE7"/>
              <w:bottom w:val="single" w:sz="4" w:color="D9DEE7"/>
              <w:right w:val="single" w:sz="4" w:color="D9DEE7"/>
            </w:tcBorders>
            <w:tcMar>
              <w:top w:w="100" w:type="dxa"/>
              <w:start w:w="130" w:type="dxa"/>
              <w:bottom w:w="100" w:type="dxa"/>
              <w:end w:w="130" w:type="dxa"/>
            </w:tcMar>
          </w:tcPr>
          <w:p>
            <w:pPr>
              <w:pStyle w:val="CourseCode"/>
            </w:pPr>
            <w:r/>
            <w:r>
              <w:rPr>
                <w:rFonts w:ascii="Courier New" w:hAnsi="Courier New" w:cs="Courier New" w:eastAsia="宋体"/>
                <w:sz w:val="18"/>
              </w:rPr>
              <w:t>("子痫前期" OR "妊娠期高血压疾病") AND ("sFlt-1" OR "可溶性fms样酪氨酸激酶-1" OR "胎盘生长因子" OR "PlGF" OR "sFlt-1/PlGF比值") AND ("预测" OR "诊断" OR "临床检验" OR "质量控制")</w:t>
            </w:r>
          </w:p>
        </w:tc>
      </w:tr>
    </w:tbl>
    <w:p>
      <w:pPr>
        <w:spacing w:after="80"/>
      </w:pPr>
    </w:p>
    <w:p>
      <w:pPr>
        <w:pStyle w:val="Heading2"/>
        <w:keepNext/>
        <w:jc w:val="left"/>
      </w:pPr>
      <w:r>
        <w:rPr>
          <w:rFonts w:ascii="Times New Roman" w:hAnsi="Times New Roman" w:cs="Times New Roman" w:eastAsia="黑体"/>
          <w:b w:val="0"/>
          <w:sz w:val="28"/>
        </w:rPr>
        <w:t>1.4 初检结果与筛选</w:t>
      </w:r>
    </w:p>
    <w:p>
      <w:pPr>
        <w:spacing w:line="360" w:lineRule="auto" w:before="0" w:after="0"/>
        <w:ind w:firstLine="480"/>
        <w:jc w:val="both"/>
      </w:pPr>
      <w:r>
        <w:rPr>
          <w:rFonts w:ascii="Times New Roman" w:hAnsi="Times New Roman" w:cs="Times New Roman" w:eastAsia="宋体"/>
          <w:sz w:val="24"/>
        </w:rPr>
        <w:t>截至 2026 年 6 月 6 日，PubMed 宽检索共获得 2305 条结果。系统综述与 Meta 分析检索获得 47 条结果，临床应用与实施相关检索获得 135 条结果。定向检索中，NICE PLGF-based testing guidance、ISSHP 2021 guideline、NEJM PROGNOSIS study、2025 年 sFlt-1/PlGF 预测性能系统综述与 Meta 分析、2022 年临床解释与实施综述等被列为优先精读文献。中文检索获得胡吉霞等 2022 年早发型子痫前期研究、杨岚等 2024 年 PLGF/SFLT-1/GLYFN 联合预测研究，以及刘鹏等 2026 年早发型重度子痫前期研究线索。</w:t>
      </w:r>
    </w:p>
    <w:p>
      <w:pPr>
        <w:spacing w:line="360" w:lineRule="auto" w:before="0" w:after="0"/>
        <w:ind w:firstLine="480"/>
        <w:jc w:val="both"/>
      </w:pPr>
      <w:r>
        <w:rPr>
          <w:rFonts w:ascii="Times New Roman" w:hAnsi="Times New Roman" w:cs="Times New Roman" w:eastAsia="宋体"/>
          <w:sz w:val="24"/>
        </w:rPr>
        <w:t>文献纳入标准为：与 sFlt-1、PlGF 或 sFlt-1/PlGF 比值检测直接相关；研究对象为疑似、高风险或已诊断子痫前期孕妇；文献类型优先选择指南、诊断指导、系统综述、Meta 分析、多中心前瞻性研究、队列研究、临床应用研究和高质量中文临床研究；文献信息应可通过 DOI、PMID、期刊页面或数据库索引核验。排除标准为：与子痫前期预测或诊断无直接关系；仅为基础机制讨论且缺少临床检验应用价值；非学术网页、商业宣传、重复发表、低质量病例报告；或无法获取基本文献信息。</w:t>
      </w:r>
    </w:p>
    <w:p>
      <w:pPr>
        <w:pStyle w:val="Heading2"/>
        <w:keepNext/>
        <w:jc w:val="left"/>
      </w:pPr>
      <w:r>
        <w:rPr>
          <w:rFonts w:ascii="Times New Roman" w:hAnsi="Times New Roman" w:cs="Times New Roman" w:eastAsia="黑体"/>
          <w:b w:val="0"/>
          <w:sz w:val="28"/>
        </w:rPr>
        <w:t>1.5 文献管理</w:t>
      </w:r>
    </w:p>
    <w:p>
      <w:pPr>
        <w:spacing w:line="360" w:lineRule="auto" w:before="0" w:after="0"/>
        <w:ind w:firstLine="480"/>
        <w:jc w:val="both"/>
      </w:pPr>
      <w:r>
        <w:rPr>
          <w:rFonts w:ascii="Times New Roman" w:hAnsi="Times New Roman" w:cs="Times New Roman" w:eastAsia="宋体"/>
          <w:sz w:val="24"/>
        </w:rPr>
        <w:t>初筛后，文献按“指南与诊断指导”“英文核心研究与综述”“中文临床研究线索”“方法学与质控文献”分层管理。对于核心文献，进一步记录 DOI 或 PMID、研究设计、研究对象、样本量、孕周范围、检测指标、截断值、主要结论、局限性和拟用于论文的位置。当前已形成的核心证据包括：NICE 对 PLGF-based tests 的推荐，Zeisler 等 PROGNOSIS 研究中 sFlt-1:PlGF ≤38 的短期排除价值，Zhang 等 2025 年 Meta 分析中 sFlt-1/PlGF 比值优于单项指标的结果，Zhao 等双截断值策略，Espinoza 等 MoM 化比值预测 2 周内重症特征的研究，以及胡吉霞等、杨岚等中文临床研究。后续写作将继续补充检测平台、样本处理、质量控制和参考文献格式。</w:t>
      </w:r>
    </w:p>
    <w:p>
      <w:pPr>
        <w:spacing w:before="160" w:after="80"/>
        <w:jc w:val="center"/>
      </w:pPr>
      <w:r>
        <w:rPr>
          <w:rFonts w:ascii="Times New Roman" w:hAnsi="Times New Roman" w:cs="Times New Roman" w:eastAsia="宋体"/>
          <w:b w:val="0"/>
          <w:sz w:val="21"/>
        </w:rPr>
        <w:t>表 1 文献检索与筛选流程概要</w:t>
      </w:r>
    </w:p>
    <w:tbl>
      <w:tblPr>
        <w:tblW w:type="dxa" w:w="9360"/>
        <w:jc w:val="center"/>
        <w:tblLayout w:type="fixed"/>
        <w:tblLook w:firstColumn="1" w:firstRow="1" w:lastColumn="0" w:lastRow="0" w:noHBand="0" w:noVBand="1" w:val="04A0"/>
      </w:tblPr>
      <w:tblGrid>
        <w:gridCol w:w="1944"/>
        <w:gridCol w:w="7416"/>
      </w:tblGrid>
      <w:tr>
        <w:trPr>
          <w:trHeight w:hRule="auto"/>
          <w:tblHeader w:val="true"/>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9"/>
              </w:rPr>
              <w:t>步骤</w:t>
            </w:r>
          </w:p>
        </w:tc>
        <w:tc>
          <w:tcPr>
            <w:tcW w:type="dxa" w:w="741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9"/>
              </w:rPr>
              <w:t>核心信息</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PubMed 宽检索</w:t>
            </w:r>
          </w:p>
        </w:tc>
        <w:tc>
          <w:tcPr>
            <w:tcW w:type="dxa" w:w="741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围绕 sFlt-1、PlGF、sFlt-1/PlGF ratio 与 preeclampsia 建立英文候选池，共 2305 条结果。</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系统综述检索</w:t>
            </w:r>
          </w:p>
        </w:tc>
        <w:tc>
          <w:tcPr>
            <w:tcW w:type="dxa" w:w="741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增加 systematic review、meta-analysis 限定，共 47 条结果，优先筛选综合证据。</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临床应用检索</w:t>
            </w:r>
          </w:p>
        </w:tc>
        <w:tc>
          <w:tcPr>
            <w:tcW w:type="dxa" w:w="741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增加 clinical utility、implementation、rule out 等关键词，共 135 条结果，筛选管理决策相关文献。</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指南定向检索</w:t>
            </w:r>
          </w:p>
        </w:tc>
        <w:tc>
          <w:tcPr>
            <w:tcW w:type="dxa" w:w="741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定向纳入 NICE PLGF-based testing guidance、ISSHP 指南和临床解释综述。</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中文补充检索</w:t>
            </w:r>
          </w:p>
        </w:tc>
        <w:tc>
          <w:tcPr>
            <w:tcW w:type="dxa" w:w="741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使用“子痫前期”“sFlt-1”“胎盘生长因子”“PlGF”等关键词，纳入胡吉霞等、杨岚等中文研究。</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最终筛选</w:t>
            </w:r>
          </w:p>
        </w:tc>
        <w:tc>
          <w:tcPr>
            <w:tcW w:type="dxa" w:w="741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按指南、Meta 分析、多中心研究、方法学研究和中文临床研究分层，形成 18 条临时参考文献。</w:t>
            </w:r>
          </w:p>
        </w:tc>
      </w:tr>
    </w:tbl>
    <w:p>
      <w:pPr>
        <w:spacing w:after="80"/>
      </w:pPr>
    </w:p>
    <w:p>
      <w:pPr>
        <w:pStyle w:val="Heading1"/>
        <w:keepNext/>
        <w:jc w:val="left"/>
      </w:pPr>
      <w:r>
        <w:rPr>
          <w:rFonts w:ascii="Times New Roman" w:hAnsi="Times New Roman" w:cs="Times New Roman" w:eastAsia="黑体"/>
          <w:b w:val="0"/>
          <w:sz w:val="32"/>
        </w:rPr>
        <w:t>2 子痫前期与血管生成失衡机制</w:t>
      </w:r>
    </w:p>
    <w:p>
      <w:pPr>
        <w:pStyle w:val="Heading2"/>
        <w:keepNext/>
        <w:jc w:val="left"/>
      </w:pPr>
      <w:r>
        <w:rPr>
          <w:rFonts w:ascii="Times New Roman" w:hAnsi="Times New Roman" w:cs="Times New Roman" w:eastAsia="黑体"/>
          <w:b w:val="0"/>
          <w:sz w:val="28"/>
        </w:rPr>
        <w:t>2.1 子痫前期的临床特点与检验需求</w:t>
      </w:r>
    </w:p>
    <w:p>
      <w:pPr>
        <w:spacing w:line="360" w:lineRule="auto" w:before="0" w:after="0"/>
        <w:ind w:firstLine="480"/>
        <w:jc w:val="both"/>
      </w:pPr>
      <w:r>
        <w:rPr>
          <w:rFonts w:ascii="Times New Roman" w:hAnsi="Times New Roman" w:cs="Times New Roman" w:eastAsia="宋体"/>
          <w:sz w:val="24"/>
        </w:rPr>
        <w:t>子痫前期通常表现为妊娠中晚期出现的高血压及多系统受累，可伴随蛋白尿、肝肾功能异常、血小板减少、神经系统症状或胎盘功能不良等表现。其临床进展具有异质性：部分孕妇病情缓慢，适合密切随访；部分孕妇可在较短时间内进展为重度子痫前期、HELLP 综合征、胎盘早剥或需要提前终止妊娠的状态。对于产科医生而言，判断“当前是否已经符合诊断标准”只是管理的一部分，更重要的是判断未来 1-4 周内是否可能进展，以及是否需要转诊、住院观察、加强监测或提前干预。</w:t>
      </w:r>
    </w:p>
    <w:p>
      <w:pPr>
        <w:spacing w:line="360" w:lineRule="auto" w:before="0" w:after="0"/>
        <w:ind w:firstLine="480"/>
        <w:jc w:val="both"/>
      </w:pPr>
      <w:r>
        <w:rPr>
          <w:rFonts w:ascii="Times New Roman" w:hAnsi="Times New Roman" w:cs="Times New Roman" w:eastAsia="宋体"/>
          <w:sz w:val="24"/>
        </w:rPr>
        <w:t>传统实验室指标如血小板计数、血清肌酐、尿蛋白、肝酶、凝血指标等，在判断器官损害和疾病严重程度方面仍然不可替代。但这些指标往往反映已经出现的母体器官受累，而不一定能够充分反映更早期的胎盘病理过程。对于症状不典型、基础疾病复杂或临床表现处于边界状态的孕妇，仅依靠血压和常规化验可能造成风险分层不足。因此，能够提前反映胎盘功能异常、并能与常规评估互补的生物标志物，成为子痫前期检验医学研究的重要方向。</w:t>
      </w:r>
    </w:p>
    <w:p>
      <w:pPr>
        <w:pStyle w:val="Heading2"/>
        <w:keepNext/>
        <w:jc w:val="left"/>
      </w:pPr>
      <w:r>
        <w:rPr>
          <w:rFonts w:ascii="Times New Roman" w:hAnsi="Times New Roman" w:cs="Times New Roman" w:eastAsia="黑体"/>
          <w:b w:val="0"/>
          <w:sz w:val="28"/>
        </w:rPr>
        <w:t>2.2 sFlt-1、PlGF 与血管生成平衡</w:t>
      </w:r>
    </w:p>
    <w:p>
      <w:pPr>
        <w:spacing w:line="360" w:lineRule="auto" w:before="0" w:after="0"/>
        <w:ind w:firstLine="480"/>
        <w:jc w:val="both"/>
      </w:pPr>
      <w:r>
        <w:rPr>
          <w:rFonts w:ascii="Times New Roman" w:hAnsi="Times New Roman" w:cs="Times New Roman" w:eastAsia="宋体"/>
          <w:sz w:val="24"/>
        </w:rPr>
        <w:t>子痫前期的重要病理基础之一是胎盘灌注不足和母体内皮功能障碍。血管生成相关因子在其中发挥关键作用。PlGF 是胎盘来源的促血管生成因子之一，正常妊娠中有助于胎盘血管发育和母胎循环适应；sFlt-1 则属于抗血管生成相关因子，可与血管内皮生长因子及 PlGF 等促血管生成因子结合，从而降低其生物学效应。Burwick 和 Rodriguez 的综述指出，血管生成失衡常在明显临床疾病出现前数周甚至数月存在，sFlt-1 和 PlGF 等胎盘来源标志物已被用于子痫前期的诊断和预后评估[7]。</w:t>
      </w:r>
    </w:p>
    <w:p>
      <w:pPr>
        <w:spacing w:line="360" w:lineRule="auto" w:before="0" w:after="0"/>
        <w:ind w:firstLine="480"/>
        <w:jc w:val="both"/>
      </w:pPr>
      <w:r>
        <w:rPr>
          <w:rFonts w:ascii="Times New Roman" w:hAnsi="Times New Roman" w:cs="Times New Roman" w:eastAsia="宋体"/>
          <w:sz w:val="24"/>
        </w:rPr>
        <w:t>从检验指标角度看，sFlt-1 升高提示抗血管生成状态增强，PlGF 降低提示促血管生成支持不足。若只观察单项 sFlt-1 或 PlGF，可能受到孕周、生理波动、检测平台和个体差异影响；而二者比值能够同时反映“抗血管生成升高”和“促血管生成降低”两个方向，理论上更接近子痫前期血管生成失衡的综合状态。Stepan 等在临床应用综述中也将 sFlt-1、PlGF 及其比值置于筛查、预测、诊断和监测的连续应用场景中讨论，提示该组合指标已从机制研究逐渐进入临床风险评估路径[8]。</w:t>
      </w:r>
    </w:p>
    <w:p>
      <w:pPr>
        <w:pStyle w:val="Heading2"/>
        <w:keepNext/>
        <w:jc w:val="left"/>
      </w:pPr>
      <w:r>
        <w:rPr>
          <w:rFonts w:ascii="Times New Roman" w:hAnsi="Times New Roman" w:cs="Times New Roman" w:eastAsia="黑体"/>
          <w:b w:val="0"/>
          <w:sz w:val="28"/>
        </w:rPr>
        <w:t>2.3 比值优于单项指标的理论基础</w:t>
      </w:r>
    </w:p>
    <w:p>
      <w:pPr>
        <w:spacing w:line="360" w:lineRule="auto" w:before="0" w:after="0"/>
        <w:ind w:firstLine="480"/>
        <w:jc w:val="both"/>
      </w:pPr>
      <w:r>
        <w:rPr>
          <w:rFonts w:ascii="Times New Roman" w:hAnsi="Times New Roman" w:cs="Times New Roman" w:eastAsia="宋体"/>
          <w:sz w:val="24"/>
        </w:rPr>
        <w:t>sFlt-1/PlGF 比值的优势并不只是数学上的“两个指标相除”，而在于其符合疾病机制和临床解释逻辑。若某孕妇 sFlt-1 轻度升高但 PlGF 保持较高水平，提示血管生成平衡可能尚未明显破坏；若 sFlt-1 升高同时 PlGF 明显下降，则比值升高更能提示抗血管生成优势明显，临床风险可能更高。2025 年系统综述与 Meta 分析显示，sFlt-1/PlGF 比值预测子痫前期的 AUC 为 0.92，高于 sFlt-1 单项的 0.89 和 PlGF 单项的 0.87[3]。这一结果支持比值在综合预测性能上的优势。</w:t>
      </w:r>
    </w:p>
    <w:p>
      <w:pPr>
        <w:spacing w:line="360" w:lineRule="auto" w:before="0" w:after="0"/>
        <w:ind w:firstLine="480"/>
        <w:jc w:val="both"/>
      </w:pPr>
      <w:r>
        <w:rPr>
          <w:rFonts w:ascii="Times New Roman" w:hAnsi="Times New Roman" w:cs="Times New Roman" w:eastAsia="宋体"/>
          <w:sz w:val="24"/>
        </w:rPr>
        <w:t>但是，比值优势不等于其可以独立确诊子痫前期。PROGNOSIS 研究显示，sFlt-1:PlGF ≤38 对 1 周内无子痫前期具有很高阴性预测价值，而比值 &gt;38 对 4 周内发生子痫前期的阳性预测值为 36.7%[2]。这说明该指标更适合用于短期排除和风险分层，而不是单凭阳性结果直接下诊断。换言之，sFlt-1/PlGF 比值的临床价值在于帮助医生和检验人员判断风险高低、安排复查频率和管理路径，而不是取代血压、症状、器官功能和胎儿评估等临床信息。</w:t>
      </w:r>
    </w:p>
    <w:p>
      <w:pPr>
        <w:pStyle w:val="Heading2"/>
        <w:keepNext/>
        <w:jc w:val="left"/>
      </w:pPr>
      <w:r>
        <w:rPr>
          <w:rFonts w:ascii="Times New Roman" w:hAnsi="Times New Roman" w:cs="Times New Roman" w:eastAsia="黑体"/>
          <w:b w:val="0"/>
          <w:sz w:val="28"/>
        </w:rPr>
        <w:t>2.4 机制证据向临床检验应用的转化</w:t>
      </w:r>
    </w:p>
    <w:p>
      <w:pPr>
        <w:spacing w:line="360" w:lineRule="auto" w:before="0" w:after="0"/>
        <w:ind w:firstLine="480"/>
        <w:jc w:val="both"/>
      </w:pPr>
      <w:r>
        <w:rPr>
          <w:rFonts w:ascii="Times New Roman" w:hAnsi="Times New Roman" w:cs="Times New Roman" w:eastAsia="宋体"/>
          <w:sz w:val="24"/>
        </w:rPr>
        <w:t>从基础机制到临床检验应用，需要经过三个层面的转化。第一，标志物必须能够稳定检测，即样本类型、试剂平台、检测范围和质量控制可满足临床实验室要求。第二，结果必须能够解释，即不同孕周、不同人群和不同检测系统下的截断值应有相应证据支持。第三，结果必须能改变临床管理，即检测结果应当能够帮助医生决定是否排除短期风险、是否加强监测、是否转诊或住院。Verlohren 等指出，子痫前期诊断在合并其他疾病症状时可能较困难，循环血管生成因子的发现推动了诊断和预后评估的发展[9]。这正体现了 sFlt-1/PlGF 比值从机制指标向临床检验工具转化的意义。</w:t>
      </w:r>
    </w:p>
    <w:p>
      <w:pPr>
        <w:spacing w:line="360" w:lineRule="auto" w:before="0" w:after="0"/>
        <w:ind w:firstLine="480"/>
        <w:jc w:val="both"/>
      </w:pPr>
      <w:r>
        <w:rPr>
          <w:rFonts w:ascii="Times New Roman" w:hAnsi="Times New Roman" w:cs="Times New Roman" w:eastAsia="宋体"/>
          <w:sz w:val="24"/>
        </w:rPr>
        <w:t>因此，本论文后续讨论不把 sFlt-1/PlGF 比值仅作为“疾病机制标志物”，而将其放在医学检验技术的完整链条中分析：样本采集是否规范、检测平台是否可靠、质控是否稳定、报告是否清楚、临床是否理解检测的适用范围和局限。只有这些环节同时成立，该比值才能真正服务于子痫前期早期预测。</w:t>
      </w:r>
    </w:p>
    <w:p>
      <w:pPr>
        <w:pStyle w:val="Heading1"/>
        <w:keepNext/>
        <w:jc w:val="left"/>
      </w:pPr>
      <w:r>
        <w:rPr>
          <w:rFonts w:ascii="Times New Roman" w:hAnsi="Times New Roman" w:cs="Times New Roman" w:eastAsia="黑体"/>
          <w:b w:val="0"/>
          <w:sz w:val="32"/>
        </w:rPr>
        <w:t>3 sFlt-1/PlGF 比值的检测原理与方法学特点</w:t>
      </w:r>
    </w:p>
    <w:p>
      <w:pPr>
        <w:pStyle w:val="Heading2"/>
        <w:keepNext/>
        <w:jc w:val="left"/>
      </w:pPr>
      <w:r>
        <w:rPr>
          <w:rFonts w:ascii="Times New Roman" w:hAnsi="Times New Roman" w:cs="Times New Roman" w:eastAsia="黑体"/>
          <w:b w:val="0"/>
          <w:sz w:val="28"/>
        </w:rPr>
        <w:t>3.1 检测对象与样本类型</w:t>
      </w:r>
    </w:p>
    <w:p>
      <w:pPr>
        <w:spacing w:line="360" w:lineRule="auto" w:before="0" w:after="0"/>
        <w:ind w:firstLine="480"/>
        <w:jc w:val="both"/>
      </w:pPr>
      <w:r>
        <w:rPr>
          <w:rFonts w:ascii="Times New Roman" w:hAnsi="Times New Roman" w:cs="Times New Roman" w:eastAsia="宋体"/>
          <w:sz w:val="24"/>
        </w:rPr>
        <w:t>sFlt-1/PlGF 比值检测的对象通常为母体外周血中的 sFlt-1 和 PlGF。现有研究多采用血清或血浆样本，通过免疫学方法检测两种蛋白浓度，再计算二者比值。由于该指标主要用于妊娠期风险评估，检验前信息非常重要，包括孕周、单胎或多胎、是否疑似子痫前期、是否已有高血压或胎儿生长受限、是否接受相关治疗等。缺少这些临床背景，检验人员即使获得准确数值，也难以给出适当解释。</w:t>
      </w:r>
    </w:p>
    <w:p>
      <w:pPr>
        <w:spacing w:line="360" w:lineRule="auto" w:before="0" w:after="0"/>
        <w:ind w:firstLine="480"/>
        <w:jc w:val="both"/>
      </w:pPr>
      <w:r>
        <w:rPr>
          <w:rFonts w:ascii="Times New Roman" w:hAnsi="Times New Roman" w:cs="Times New Roman" w:eastAsia="宋体"/>
          <w:sz w:val="24"/>
        </w:rPr>
        <w:t>检验前质量控制应特别关注采血时间、样本类型、离心和保存条件。不同研究和平台可能使用血清或血浆，若样本处理不一致，结果可比性会受到影响。对于需要动态监测的孕妇，应尽量使用同一检测平台和相近的采样条件，以减少方法学差异造成的假性变化。医学检验人员还应核对样本身份、孕周信息和临床申请目的，避免将不适用人群的结果误用于风险判断。</w:t>
      </w:r>
    </w:p>
    <w:p>
      <w:pPr>
        <w:pStyle w:val="Heading2"/>
        <w:keepNext/>
        <w:jc w:val="left"/>
      </w:pPr>
      <w:r>
        <w:rPr>
          <w:rFonts w:ascii="Times New Roman" w:hAnsi="Times New Roman" w:cs="Times New Roman" w:eastAsia="黑体"/>
          <w:b w:val="0"/>
          <w:sz w:val="28"/>
        </w:rPr>
        <w:t>3.2 检测平台与结果表达</w:t>
      </w:r>
    </w:p>
    <w:p>
      <w:pPr>
        <w:spacing w:line="360" w:lineRule="auto" w:before="0" w:after="0"/>
        <w:ind w:firstLine="480"/>
        <w:jc w:val="both"/>
      </w:pPr>
      <w:r>
        <w:rPr>
          <w:rFonts w:ascii="Times New Roman" w:hAnsi="Times New Roman" w:cs="Times New Roman" w:eastAsia="宋体"/>
          <w:sz w:val="24"/>
        </w:rPr>
        <w:t>目前临床和研究中涉及的检测平台包括 Elecsys sFlt-1/PlGF ratio、DELFIA Xpress PlGF 1-2-3、DELFIA Xpress sFlt-1:PlGF ratio、Triage PlGF Test 等。NICE 指导中明确提到，这些 PLGF-based tests 可与标准临床评估联合使用，用于疑似早产期子痫前期的 rule-in 或 rule-out 判断[1]。不同平台的检测原理、试剂校准、报告单位和适用孕周范围并不完全相同，因此不能简单把某一研究中的截断值机械套用于所有检测系统。</w:t>
      </w:r>
    </w:p>
    <w:p>
      <w:pPr>
        <w:spacing w:line="360" w:lineRule="auto" w:before="0" w:after="0"/>
        <w:ind w:firstLine="480"/>
        <w:jc w:val="both"/>
      </w:pPr>
      <w:r>
        <w:rPr>
          <w:rFonts w:ascii="Times New Roman" w:hAnsi="Times New Roman" w:cs="Times New Roman" w:eastAsia="宋体"/>
          <w:sz w:val="24"/>
        </w:rPr>
        <w:t>结果表达一般包括 sFlt-1 浓度、PlGF 浓度和 sFlt-1/PlGF 比值。部分研究还使用 multiples of median（MoM）方式进行标准化，以减少孕周或人群差异带来的影响。Espinoza 等在 18 个美国中心住院高血压孕妇队列中使用 sFlt-1/PlGF MoM，发现 11.5 MoM 可预测 2 周内重症特征，AUC 达 0.91[5]。这提示在某些场景中，单纯报告绝对比值可能不足，结合孕周或平台标准化表达有助于提高解释能力。</w:t>
      </w:r>
    </w:p>
    <w:p>
      <w:pPr>
        <w:pStyle w:val="Heading2"/>
        <w:keepNext/>
        <w:jc w:val="left"/>
      </w:pPr>
      <w:r>
        <w:rPr>
          <w:rFonts w:ascii="Times New Roman" w:hAnsi="Times New Roman" w:cs="Times New Roman" w:eastAsia="黑体"/>
          <w:b w:val="0"/>
          <w:sz w:val="28"/>
        </w:rPr>
        <w:t>3.3 截断值与临床解释</w:t>
      </w:r>
    </w:p>
    <w:p>
      <w:pPr>
        <w:spacing w:line="360" w:lineRule="auto" w:before="0" w:after="0"/>
        <w:ind w:firstLine="480"/>
        <w:jc w:val="both"/>
      </w:pPr>
      <w:r>
        <w:rPr>
          <w:rFonts w:ascii="Times New Roman" w:hAnsi="Times New Roman" w:cs="Times New Roman" w:eastAsia="宋体"/>
          <w:sz w:val="24"/>
        </w:rPr>
        <w:t>截断值是 sFlt-1/PlGF 比值应用中最容易被误读的部分。PROGNOSIS 研究提出的 38 截断值具有明确场景：疑似子痫前期、单胎妊娠、孕周 24+0 至 36+6，主要用于判断 1 周内是否可排除子痫前期[2]。因此，≤38 的结果更适合解释为短期低风险，而不应简单表述为“没有子痫前期”；&gt;38 也不等于一定发生子痫前期，因为该研究中阳性预测值并不高。报告时若只写“阳性/阴性”，可能造成临床误解。</w:t>
      </w:r>
    </w:p>
    <w:p>
      <w:pPr>
        <w:spacing w:line="360" w:lineRule="auto" w:before="0" w:after="0"/>
        <w:ind w:firstLine="480"/>
        <w:jc w:val="both"/>
      </w:pPr>
      <w:r>
        <w:rPr>
          <w:rFonts w:ascii="Times New Roman" w:hAnsi="Times New Roman" w:cs="Times New Roman" w:eastAsia="宋体"/>
          <w:sz w:val="24"/>
        </w:rPr>
        <w:t>Zhao 等提出双截断策略，早发型子痫前期可考虑 ≤33 和 ≥85，晚发型子痫前期可考虑 ≤33 和 ≥110，并指出双截断方式有助于提高风险分层性能[4]。双截断的逻辑是将人群分为低风险、高风险和灰区三类，而不是强行用一个阈值完成全部判断。对于灰区结果，应结合症状、血压、尿蛋白、肝肾功能、胎儿情况和复查趋势综合判断。医学检验报告可在备注中提示“需结合孕周和临床情况解释”，并建议必要时重复检测或进一步评估。</w:t>
      </w:r>
    </w:p>
    <w:p>
      <w:pPr>
        <w:pStyle w:val="Heading2"/>
        <w:keepNext/>
        <w:jc w:val="left"/>
      </w:pPr>
      <w:r>
        <w:rPr>
          <w:rFonts w:ascii="Times New Roman" w:hAnsi="Times New Roman" w:cs="Times New Roman" w:eastAsia="黑体"/>
          <w:b w:val="0"/>
          <w:sz w:val="28"/>
        </w:rPr>
        <w:t>3.4 单项指标、比值与联合检测</w:t>
      </w:r>
    </w:p>
    <w:p>
      <w:pPr>
        <w:spacing w:line="360" w:lineRule="auto" w:before="0" w:after="0"/>
        <w:ind w:firstLine="480"/>
        <w:jc w:val="both"/>
      </w:pPr>
      <w:r>
        <w:rPr>
          <w:rFonts w:ascii="Times New Roman" w:hAnsi="Times New Roman" w:cs="Times New Roman" w:eastAsia="宋体"/>
          <w:sz w:val="24"/>
        </w:rPr>
        <w:t>单项 PlGF 或 sFlt-1 在临床上仍有价值。PlGF 降低可作为胎盘功能异常的重要提示，部分 PLGF 检测也被纳入指南推荐[1]。Bremner 等使用 DELFIA Xpress PlGF 与 sFlt-1 检测分析疑似或确诊子痫前期样本，验证了 PlGF &lt;50 pg/mL 用于 rule-in、≥150 pg/mL 用于 rule-out 等阈值表现[10]。这说明在某些平台和临床路径中，PlGF 单项也可以发挥作用。</w:t>
      </w:r>
    </w:p>
    <w:p>
      <w:pPr>
        <w:spacing w:line="360" w:lineRule="auto" w:before="0" w:after="0"/>
        <w:ind w:firstLine="480"/>
        <w:jc w:val="both"/>
      </w:pPr>
      <w:r>
        <w:rPr>
          <w:rFonts w:ascii="Times New Roman" w:hAnsi="Times New Roman" w:cs="Times New Roman" w:eastAsia="宋体"/>
          <w:sz w:val="24"/>
        </w:rPr>
        <w:t>不过，结合机制和现有证据，比值通常更适合用于综合表达血管生成失衡。Caillon 等在专科围产中心的研究中强调，低 sFlt-1/PlGF 比值可用于预测 1 周内无子痫前期，并有助于改善临床管理[11]。此外，国内杨岚等研究将 PLGF、SFLT-1 和糖基化纤连蛋白联合，用于子痫前期预测，三项联合 AUC 达 0.986，提示多标志物联合可能进一步提高预测性能。未来临床检验应用可能不仅限于单一比值，而是与 NT-proBNP、糖基化纤连蛋白、常规实验室指标及临床模型结合，形成更完整的风险评估体系。</w:t>
      </w:r>
    </w:p>
    <w:p>
      <w:pPr>
        <w:pStyle w:val="Heading2"/>
        <w:keepNext/>
        <w:jc w:val="left"/>
      </w:pPr>
      <w:r>
        <w:rPr>
          <w:rFonts w:ascii="Times New Roman" w:hAnsi="Times New Roman" w:cs="Times New Roman" w:eastAsia="黑体"/>
          <w:b w:val="0"/>
          <w:sz w:val="28"/>
        </w:rPr>
        <w:t>3.5 检验报告与质量控制要点</w:t>
      </w:r>
    </w:p>
    <w:p>
      <w:pPr>
        <w:spacing w:line="360" w:lineRule="auto" w:before="0" w:after="0"/>
        <w:ind w:firstLine="480"/>
        <w:jc w:val="both"/>
      </w:pPr>
      <w:r>
        <w:rPr>
          <w:rFonts w:ascii="Times New Roman" w:hAnsi="Times New Roman" w:cs="Times New Roman" w:eastAsia="宋体"/>
          <w:sz w:val="24"/>
        </w:rPr>
        <w:t>对于医学检验人员而言，sFlt-1/PlGF 比值检测的工作重点不止是完成仪器检测。首先，应确保室内质控稳定，试剂批号、校准状态和质控结果符合要求；其次，应确认样本类型、采血时间和保存条件符合平台说明书；再次，应在报告中清楚标明检测方法、结果单位、比值及参考解释范围。若平台说明或指南限定适用孕周，报告解释中不应超出适用范围。</w:t>
      </w:r>
    </w:p>
    <w:p>
      <w:pPr>
        <w:spacing w:line="360" w:lineRule="auto" w:before="0" w:after="0"/>
        <w:ind w:firstLine="480"/>
        <w:jc w:val="both"/>
      </w:pPr>
      <w:r>
        <w:rPr>
          <w:rFonts w:ascii="Times New Roman" w:hAnsi="Times New Roman" w:cs="Times New Roman" w:eastAsia="宋体"/>
          <w:sz w:val="24"/>
        </w:rPr>
        <w:t>报告解释应避免绝对化语言。较低比值可提示短期内发生子痫前期的可能性较低，较高比值提示风险升高，但均需结合临床症状、血压、尿蛋白、肝肾功能、血小板和胎儿评估。对于明显升高或与临床表现不一致的结果，检验人员应主动与临床沟通，确认样本、孕周、检测平台和复查需求。若后续论文设置表格，可将 sFlt-1、PlGF 和 sFlt-1/PlGF 比值的检测意义、优势、局限和适用场景并列呈现，以增强课程论文的医学检验专业特色。</w:t>
      </w:r>
    </w:p>
    <w:p>
      <w:pPr>
        <w:spacing w:before="160" w:after="80"/>
        <w:jc w:val="center"/>
      </w:pPr>
      <w:r>
        <w:rPr>
          <w:rFonts w:ascii="Times New Roman" w:hAnsi="Times New Roman" w:cs="Times New Roman" w:eastAsia="宋体"/>
          <w:b w:val="0"/>
          <w:sz w:val="21"/>
        </w:rPr>
        <w:t>表 2 sFlt-1、PlGF 与 sFlt-1/PlGF 比值比较</w:t>
      </w:r>
    </w:p>
    <w:tbl>
      <w:tblPr>
        <w:tblW w:type="dxa" w:w="9360"/>
        <w:jc w:val="center"/>
        <w:tblLayout w:type="fixed"/>
        <w:tblLook w:firstColumn="1" w:firstRow="1" w:lastColumn="0" w:lastRow="0" w:noHBand="0" w:noVBand="1" w:val="04A0"/>
      </w:tblPr>
      <w:tblGrid>
        <w:gridCol w:w="1944"/>
        <w:gridCol w:w="3960"/>
        <w:gridCol w:w="3456"/>
      </w:tblGrid>
      <w:tr>
        <w:trPr>
          <w:trHeight w:hRule="auto"/>
          <w:tblHeader w:val="true"/>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9"/>
              </w:rPr>
              <w:t>指标</w:t>
            </w:r>
          </w:p>
        </w:tc>
        <w:tc>
          <w:tcPr>
            <w:tcW w:type="dxa" w:w="396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9"/>
              </w:rPr>
              <w:t>核心解释</w:t>
            </w:r>
          </w:p>
        </w:tc>
        <w:tc>
          <w:tcPr>
            <w:tcW w:type="dxa" w:w="345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9"/>
              </w:rPr>
              <w:t>临床检验定位</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sFlt-1</w:t>
            </w:r>
          </w:p>
        </w:tc>
        <w:tc>
          <w:tcPr>
            <w:tcW w:type="dxa" w:w="396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抗血管生成相关因子，升高提示抗血管生成状态增强。</w:t>
            </w:r>
          </w:p>
        </w:tc>
        <w:tc>
          <w:tcPr>
            <w:tcW w:type="dxa" w:w="345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用于机制解释和联合检测，但单项结果受孕周及个体差异影响。</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PlGF</w:t>
            </w:r>
          </w:p>
        </w:tc>
        <w:tc>
          <w:tcPr>
            <w:tcW w:type="dxa" w:w="396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促血管生成因子，降低提示胎盘功能和血管生成支持不足。</w:t>
            </w:r>
          </w:p>
        </w:tc>
        <w:tc>
          <w:tcPr>
            <w:tcW w:type="dxa" w:w="345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部分 PLGF-based tests 已进入指南推荐，可用于疑似早产期子痫前期辅助判断。</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sFlt-1/PlGF 比值</w:t>
            </w:r>
          </w:p>
        </w:tc>
        <w:tc>
          <w:tcPr>
            <w:tcW w:type="dxa" w:w="396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同时整合 sFlt-1 升高和 PlGF 降低，反映血管生成失衡。</w:t>
            </w:r>
          </w:p>
        </w:tc>
        <w:tc>
          <w:tcPr>
            <w:tcW w:type="dxa" w:w="345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适合短期排除、风险分层和辅助诊断；阳性结果不能单独确诊。</w:t>
            </w:r>
          </w:p>
        </w:tc>
      </w:tr>
      <w:tr>
        <w:trPr>
          <w:trHeight w:hRule="auto"/>
        </w:trPr>
        <w:tc>
          <w:tcPr>
            <w:tcW w:type="dxa" w:w="194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多指标联合模型</w:t>
            </w:r>
          </w:p>
        </w:tc>
        <w:tc>
          <w:tcPr>
            <w:tcW w:type="dxa" w:w="396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将血管生成因子与其他标志物或临床信息结合。</w:t>
            </w:r>
          </w:p>
        </w:tc>
        <w:tc>
          <w:tcPr>
            <w:tcW w:type="dxa" w:w="345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可用于复杂场景和不良结局预测，但成本、解释和路径要求更高。</w:t>
            </w:r>
          </w:p>
        </w:tc>
      </w:tr>
    </w:tbl>
    <w:p>
      <w:pPr>
        <w:spacing w:after="80"/>
      </w:pPr>
    </w:p>
    <w:p>
      <w:pPr>
        <w:pStyle w:val="Heading1"/>
        <w:keepNext/>
        <w:jc w:val="left"/>
      </w:pPr>
      <w:r>
        <w:rPr>
          <w:rFonts w:ascii="Times New Roman" w:hAnsi="Times New Roman" w:cs="Times New Roman" w:eastAsia="黑体"/>
          <w:b w:val="0"/>
          <w:sz w:val="32"/>
        </w:rPr>
        <w:t>4 sFlt-1/PlGF 比值在早期预测和辅助诊断中的证据</w:t>
      </w:r>
    </w:p>
    <w:p>
      <w:pPr>
        <w:pStyle w:val="Heading2"/>
        <w:keepNext/>
        <w:jc w:val="left"/>
      </w:pPr>
      <w:r>
        <w:rPr>
          <w:rFonts w:ascii="Times New Roman" w:hAnsi="Times New Roman" w:cs="Times New Roman" w:eastAsia="黑体"/>
          <w:b w:val="0"/>
          <w:sz w:val="28"/>
        </w:rPr>
        <w:t>4.1 证据类型与评价思路</w:t>
      </w:r>
    </w:p>
    <w:p>
      <w:pPr>
        <w:spacing w:line="360" w:lineRule="auto" w:before="0" w:after="0"/>
        <w:ind w:firstLine="480"/>
        <w:jc w:val="both"/>
      </w:pPr>
      <w:r>
        <w:rPr>
          <w:rFonts w:ascii="Times New Roman" w:hAnsi="Times New Roman" w:cs="Times New Roman" w:eastAsia="宋体"/>
          <w:sz w:val="24"/>
        </w:rPr>
        <w:t>评价 sFlt-1/PlGF 比值在子痫前期早期预测中的应用，不能只看某一篇研究是否报告了较高的 AUC，也不能只看某一个截断值是否具有统计学意义。对于临床检验项目而言，更重要的是明确其适用场景、目标人群、预测时间窗、检测平台和临床后果。根据现有文献，本题可将证据分为五类：第一，指南或诊断指导，主要说明该指标是否被推荐进入临床路径；第二，多中心前瞻性研究，主要评估短期预测和排除价值；第三，系统综述与 Meta 分析，综合不同研究的敏感度、特异度和 AUC；第四，检测平台和截断值研究，解释为什么不同平台或孕周下不能机械套用同一阈值；第五，中文临床研究，补充国内人群和国内实验室应用情况。</w:t>
      </w:r>
    </w:p>
    <w:p>
      <w:pPr>
        <w:spacing w:line="360" w:lineRule="auto" w:before="0" w:after="0"/>
        <w:ind w:firstLine="480"/>
        <w:jc w:val="both"/>
      </w:pPr>
      <w:r>
        <w:rPr>
          <w:rFonts w:ascii="Times New Roman" w:hAnsi="Times New Roman" w:cs="Times New Roman" w:eastAsia="宋体"/>
          <w:sz w:val="24"/>
        </w:rPr>
        <w:t>从证据目标看，sFlt-1/PlGF 比值至少可对应三种临床问题。其一是 rule-out，即在疑似子痫前期孕妇中判断短期内发生疾病的可能性是否较低；其二是 rule-in 或辅助诊断，即当比值升高时提示子痫前期风险增加，但仍需结合临床表现和其他实验室指标；其三是风险分层，即预测短期内进展为重症特征或出现不良母婴结局的概率。三者虽然都与“预测”有关，但临床意义不同。rule-out 更重视阴性预测值和敏感度，rule-in 更重视阳性预测值和特异度，风险分层则更强调预测窗口、结局定义和是否能指导管理。因此，下文按应用场景而非单纯按文献年份展开。</w:t>
      </w:r>
    </w:p>
    <w:p>
      <w:pPr>
        <w:pStyle w:val="Heading2"/>
        <w:keepNext/>
        <w:jc w:val="left"/>
      </w:pPr>
      <w:r>
        <w:rPr>
          <w:rFonts w:ascii="Times New Roman" w:hAnsi="Times New Roman" w:cs="Times New Roman" w:eastAsia="黑体"/>
          <w:b w:val="0"/>
          <w:sz w:val="28"/>
        </w:rPr>
        <w:t>4.2 短期排除价值：目前证据最明确的应用场景</w:t>
      </w:r>
    </w:p>
    <w:p>
      <w:pPr>
        <w:spacing w:line="360" w:lineRule="auto" w:before="0" w:after="0"/>
        <w:ind w:firstLine="480"/>
        <w:jc w:val="both"/>
      </w:pPr>
      <w:r>
        <w:rPr>
          <w:rFonts w:ascii="Times New Roman" w:hAnsi="Times New Roman" w:cs="Times New Roman" w:eastAsia="宋体"/>
          <w:sz w:val="24"/>
        </w:rPr>
        <w:t>sFlt-1/PlGF 比值最有说服力的证据来自疑似子痫前期孕妇的短期排除。Zeisler 等开展的 PROGNOSIS 研究是该领域的关键多中心前瞻性观察研究。该研究纳入孕 24+0 至 36+6 周、临床疑似子痫前期的单胎孕妇，先在 500 例开发队列中确定 sFlt-1:PlGF 比值 38 的截断值，再在 550 例验证队列中评估预测性能。结果显示，sFlt-1:PlGF 比值 ≤38 对 1 周内无子痫前期的阴性预测值为 99.3%，敏感度为 80.0%，特异度为 78.3%[2]。这一结果说明，在符合研究适用条件的人群中，较低比值对短期排除具有很强价值。</w:t>
      </w:r>
    </w:p>
    <w:p>
      <w:pPr>
        <w:spacing w:line="360" w:lineRule="auto" w:before="0" w:after="0"/>
        <w:ind w:firstLine="480"/>
        <w:jc w:val="both"/>
      </w:pPr>
      <w:r>
        <w:rPr>
          <w:rFonts w:ascii="Times New Roman" w:hAnsi="Times New Roman" w:cs="Times New Roman" w:eastAsia="宋体"/>
          <w:sz w:val="24"/>
        </w:rPr>
        <w:t>这一发现对临床管理具有实际意义。疑似子痫前期孕妇常因血压升高、头痛、蛋白尿可疑或实验室指标轻度异常而反复就诊。如果缺少可靠排除工具，临床可能倾向于住院观察或频繁复查。sFlt-1/PlGF 比值 ≤38 并不意味着孕妇完全没有风险，也不意味着无需随访，但它可以帮助临床判断未来 1 周内发生子痫前期的可能性较低，从而减少不必要住院和焦虑。对检验人员而言，报告低比值时应强调“短期排除价值”，而不是简单写成“阴性”或“正常”。这一表述差异看似细小，却直接影响临床医生如何理解检测结果。</w:t>
      </w:r>
    </w:p>
    <w:p>
      <w:pPr>
        <w:spacing w:line="360" w:lineRule="auto" w:before="0" w:after="0"/>
        <w:ind w:firstLine="480"/>
        <w:jc w:val="both"/>
      </w:pPr>
      <w:r>
        <w:rPr>
          <w:rFonts w:ascii="Times New Roman" w:hAnsi="Times New Roman" w:cs="Times New Roman" w:eastAsia="宋体"/>
          <w:sz w:val="24"/>
        </w:rPr>
        <w:t>Caillon 等在专科围产中心的研究也支持低 sFlt-1/PlGF 比值用于短期排除，并强调该指标有助于改善临床管理[11]。这类研究从医学检验角度更有启发性，因为它不是只讨论某个统计学指标，而是关注检测结果如何进入围产医学中心的实际管理流程。对于医学检验专业课程论文来说，这一点尤其重要：实验室检测项目的价值并不止于获得一个准确数字，更在于数字是否能被正确解释、是否能减少不必要处理、是否能帮助临床把有限资源集中在高风险孕妇身上。</w:t>
      </w:r>
    </w:p>
    <w:p>
      <w:pPr>
        <w:pStyle w:val="Heading2"/>
        <w:keepNext/>
        <w:jc w:val="left"/>
      </w:pPr>
      <w:r>
        <w:rPr>
          <w:rFonts w:ascii="Times New Roman" w:hAnsi="Times New Roman" w:cs="Times New Roman" w:eastAsia="黑体"/>
          <w:b w:val="0"/>
          <w:sz w:val="28"/>
        </w:rPr>
        <w:t>4.3 阳性预测与辅助诊断：价值存在，但不宜夸大</w:t>
      </w:r>
    </w:p>
    <w:p>
      <w:pPr>
        <w:spacing w:line="360" w:lineRule="auto" w:before="0" w:after="0"/>
        <w:ind w:firstLine="480"/>
        <w:jc w:val="both"/>
      </w:pPr>
      <w:r>
        <w:rPr>
          <w:rFonts w:ascii="Times New Roman" w:hAnsi="Times New Roman" w:cs="Times New Roman" w:eastAsia="宋体"/>
          <w:sz w:val="24"/>
        </w:rPr>
        <w:t>与短期排除相比，sFlt-1/PlGF 比值升高后的阳性预测能力更复杂。PROGNOSIS 研究中，比值 &gt;38 对 4 周内发生子痫前期的阳性预测值为 36.7%，敏感度为 66.2%，特异度为 83.1%[2]。这说明比值升高确实提示风险上升，但并不能单独作为确诊依据。如果临床将 &gt;38 直接理解为“必然发生子痫前期”，就可能导致过度监测、过度住院甚至过度干预。</w:t>
      </w:r>
    </w:p>
    <w:p>
      <w:pPr>
        <w:spacing w:line="360" w:lineRule="auto" w:before="0" w:after="0"/>
        <w:ind w:firstLine="480"/>
        <w:jc w:val="both"/>
      </w:pPr>
      <w:r>
        <w:rPr>
          <w:rFonts w:ascii="Times New Roman" w:hAnsi="Times New Roman" w:cs="Times New Roman" w:eastAsia="宋体"/>
          <w:sz w:val="24"/>
        </w:rPr>
        <w:t>阳性预测值较低并不代表检测无用，而是提示该指标应放在风险分层框架中解释。子痫前期本身具有异质性，不同孕周、不同病因背景、早发型和晚发型、是否合并胎儿生长受限、是否多胎妊娠，都会影响比值水平和临床结局。因此，比值升高更适合解释为“需要加强临床评估和动态监测”，而不是“已经可以替代诊断标准”。在临床沟通中，检验人员应向临床强调：高比值提示胎盘血管生成失衡程度增加，应结合血压、蛋白尿、血小板、肝肾功能、症状体征和胎儿评估共同判断。</w:t>
      </w:r>
    </w:p>
    <w:p>
      <w:pPr>
        <w:spacing w:line="360" w:lineRule="auto" w:before="0" w:after="0"/>
        <w:ind w:firstLine="480"/>
        <w:jc w:val="both"/>
      </w:pPr>
      <w:r>
        <w:rPr>
          <w:rFonts w:ascii="Times New Roman" w:hAnsi="Times New Roman" w:cs="Times New Roman" w:eastAsia="宋体"/>
          <w:sz w:val="24"/>
        </w:rPr>
        <w:t>Zhao 等的双截断值系统综述与 Meta 分析进一步说明，单一截断值难以覆盖所有临床场景。该研究提出早发型子痫前期可考虑 ≤33 和 ≥85，晚发型可考虑 ≤33 和 ≥110。其思路不是用一个阈值把所有孕妇简单分成阳性和阴性，而是设置低风险、高风险和灰区。低截断强调敏感度，适合排除；高截断强调特异度，适合提示高风险；灰区则需要复查和综合判断[4]。这种分层方式更符合临床实际，也更符合检验报告解释原则。</w:t>
      </w:r>
    </w:p>
    <w:p>
      <w:pPr>
        <w:pStyle w:val="Heading2"/>
        <w:keepNext/>
        <w:jc w:val="left"/>
      </w:pPr>
      <w:r>
        <w:rPr>
          <w:rFonts w:ascii="Times New Roman" w:hAnsi="Times New Roman" w:cs="Times New Roman" w:eastAsia="黑体"/>
          <w:b w:val="0"/>
          <w:sz w:val="28"/>
        </w:rPr>
        <w:t>4.4 系统综述与 Meta 分析：比值总体优于单项指标</w:t>
      </w:r>
    </w:p>
    <w:p>
      <w:pPr>
        <w:spacing w:line="360" w:lineRule="auto" w:before="0" w:after="0"/>
        <w:ind w:firstLine="480"/>
        <w:jc w:val="both"/>
      </w:pPr>
      <w:r>
        <w:rPr>
          <w:rFonts w:ascii="Times New Roman" w:hAnsi="Times New Roman" w:cs="Times New Roman" w:eastAsia="宋体"/>
          <w:sz w:val="24"/>
        </w:rPr>
        <w:t>单项研究可能受样本量、研究人群和检测平台限制，因此系统综述与 Meta 分析对判断总体证据具有重要作用。Zhang 等 2025 年系统综述与 Meta 分析检索 PubMed、Web of Science、Medline、CNKI、SinoMed、维普和万方等数据库，纳入检测 sFlt-1、PlGF 或 sFlt-1/PlGF 的病例对照研究和队列研究。结果显示，sFlt-1、PlGF 和 sFlt-1/PlGF 比值预测子痫前期的合并敏感度分别为 0.79、0.76 和 0.83，合并特异度分别为 0.86、0.83 和 0.88，AUC 分别为 0.89、0.87 和 0.92[3]。从这些指标看，比值整体预测性能优于单项 sFlt-1 或 PlGF。</w:t>
      </w:r>
    </w:p>
    <w:p>
      <w:pPr>
        <w:spacing w:line="360" w:lineRule="auto" w:before="0" w:after="0"/>
        <w:ind w:firstLine="480"/>
        <w:jc w:val="both"/>
      </w:pPr>
      <w:r>
        <w:rPr>
          <w:rFonts w:ascii="Times New Roman" w:hAnsi="Times New Roman" w:cs="Times New Roman" w:eastAsia="宋体"/>
          <w:sz w:val="24"/>
        </w:rPr>
        <w:t>该 Meta 分析对本论文有两层意义。第一，它为“为什么选择比值作为论文主题”提供了证据支持。若比值在敏感度、特异度和 AUC 上均优于单项指标，则说明其更适合代表血管生成失衡的综合程度。第二，它也提醒不能过度解读。该研究指出，预测性能差异可受到研究设计、文献质量、样本量、疾病亚型和截断值影响，并且目前仍缺乏足够证据证明使用这些生物标志物能够直接改善妊娠结局[3]。因此，论文在写作时应同时呈现“比值具有较好预测性能”和“预测性能不等于临床结局改善”这两个方面。</w:t>
      </w:r>
    </w:p>
    <w:p>
      <w:pPr>
        <w:spacing w:line="360" w:lineRule="auto" w:before="0" w:after="0"/>
        <w:ind w:firstLine="480"/>
        <w:jc w:val="both"/>
      </w:pPr>
      <w:r>
        <w:rPr>
          <w:rFonts w:ascii="Times New Roman" w:hAnsi="Times New Roman" w:cs="Times New Roman" w:eastAsia="宋体"/>
          <w:sz w:val="24"/>
        </w:rPr>
        <w:t>这种平衡评价是文献综述写作中的关键。若只列举 AUC 和敏感度，容易写成指标宣传；若只强调异质性和局限，又可能忽视其实际临床价值。较合理的表述是：sFlt-1/PlGF 比值已具备较充分的预测和短期排除证据，尤其适合疑似子痫前期孕妇的风险分层；但其能否减少母婴不良结局、优化住院率、改善医疗资源配置，还需要结合临床路径研究、成本效益研究和真实世界应用数据进一步评估。</w:t>
      </w:r>
    </w:p>
    <w:p>
      <w:pPr>
        <w:pStyle w:val="Heading2"/>
        <w:keepNext/>
        <w:jc w:val="left"/>
      </w:pPr>
      <w:r>
        <w:rPr>
          <w:rFonts w:ascii="Times New Roman" w:hAnsi="Times New Roman" w:cs="Times New Roman" w:eastAsia="黑体"/>
          <w:b w:val="0"/>
          <w:sz w:val="28"/>
        </w:rPr>
        <w:t>4.5 重症风险分层：从“是否发生”走向“是否短期进展”</w:t>
      </w:r>
    </w:p>
    <w:p>
      <w:pPr>
        <w:spacing w:line="360" w:lineRule="auto" w:before="0" w:after="0"/>
        <w:ind w:firstLine="480"/>
        <w:jc w:val="both"/>
      </w:pPr>
      <w:r>
        <w:rPr>
          <w:rFonts w:ascii="Times New Roman" w:hAnsi="Times New Roman" w:cs="Times New Roman" w:eastAsia="宋体"/>
          <w:sz w:val="24"/>
        </w:rPr>
        <w:t>临床管理中，另一个重要问题不是孕妇是否会发生子痫前期，而是是否会在短时间内进展为重症特征或出现严重母婴不良结局。Espinoza 等 2024 年在 18 个美国中心开展队列研究，纳入住院高血压孕妇 543 例，孕周 23 至 35 周。研究发现，sFlt-1/PlGF MoM 截断值 11.5 可预测 2 周内子痫前期重症特征，敏感度 90.6%，特异度 76.9%，阳性预测值 66.0%，阴性预测值 94.3%，AUC 为 0.91[5]。检测阳性者 2 周内重症特征发生比例为 66.0%，阴性者为 5.7%[5]。</w:t>
      </w:r>
    </w:p>
    <w:p>
      <w:pPr>
        <w:spacing w:line="360" w:lineRule="auto" w:before="0" w:after="0"/>
        <w:ind w:firstLine="480"/>
        <w:jc w:val="both"/>
      </w:pPr>
      <w:r>
        <w:rPr>
          <w:rFonts w:ascii="Times New Roman" w:hAnsi="Times New Roman" w:cs="Times New Roman" w:eastAsia="宋体"/>
          <w:sz w:val="24"/>
        </w:rPr>
        <w:t>该研究提示 sFlt-1/PlGF 比值的应用可从“是否短期发生子痫前期”进一步扩展到“是否短期进展为重症特征”。这对临床管理非常重要，因为重症风险直接影响住院监测、转诊至高级别医疗机构、胎儿监测频率和终止妊娠时机。与单纯诊断相比，重症风险分层更接近临床决策需求。对于医学检验人员而言，若实验室报告能够帮助医生识别 2 周内高风险孕妇，其价值就不只是辅助诊断，而是参与了风险管理。</w:t>
      </w:r>
    </w:p>
    <w:p>
      <w:pPr>
        <w:spacing w:line="360" w:lineRule="auto" w:before="0" w:after="0"/>
        <w:ind w:firstLine="480"/>
        <w:jc w:val="both"/>
      </w:pPr>
      <w:r>
        <w:rPr>
          <w:rFonts w:ascii="Times New Roman" w:hAnsi="Times New Roman" w:cs="Times New Roman" w:eastAsia="宋体"/>
          <w:sz w:val="24"/>
        </w:rPr>
        <w:t>值得注意的是，Espinoza 等使用的是 MoM 化表达，这与常见的绝对比值不同。MoM 可在一定程度上校正孕周或人群分布差异，有助于提高不同阶段结果的可比性。这也说明，未来 sFlt-1/PlGF 比值报告方式可能并不局限于固定截断值，而需要根据孕周、检测平台和人群建立更精细的解释模型。课程论文在这里应强调方法学问题：同一个检测指标进入临床应用后，关键不只是检测灵敏度，还包括结果如何标准化、如何解释以及如何与临床路径衔接。</w:t>
      </w:r>
    </w:p>
    <w:p>
      <w:pPr>
        <w:pStyle w:val="Heading2"/>
        <w:keepNext/>
        <w:jc w:val="left"/>
      </w:pPr>
      <w:r>
        <w:rPr>
          <w:rFonts w:ascii="Times New Roman" w:hAnsi="Times New Roman" w:cs="Times New Roman" w:eastAsia="黑体"/>
          <w:b w:val="0"/>
          <w:sz w:val="28"/>
        </w:rPr>
        <w:t>4.6 中文临床研究与国内应用证据</w:t>
      </w:r>
    </w:p>
    <w:p>
      <w:pPr>
        <w:spacing w:line="360" w:lineRule="auto" w:before="0" w:after="0"/>
        <w:ind w:firstLine="480"/>
        <w:jc w:val="both"/>
      </w:pPr>
      <w:r>
        <w:rPr>
          <w:rFonts w:ascii="Times New Roman" w:hAnsi="Times New Roman" w:cs="Times New Roman" w:eastAsia="宋体"/>
          <w:sz w:val="24"/>
        </w:rPr>
        <w:t>国内研究虽总体样本量较小，但能体现该指标在中文临床环境中的应用价值。胡吉霞等研究纳入早发型子痫前期孕妇 50 例和健康孕妇 60 例，结果显示 sFlt-1/PlGF 比值预测早发型子痫前期的 AUC 为 0.873，敏感度 84.00%，特异度 98.30%；预测不良妊娠结局的 AUC 为 0.936，敏感度 97.75%，特异度 97.06%[6]。这提示该比值在早发型子痫前期及不良妊娠结局预测中具有较好区分能力。</w:t>
      </w:r>
    </w:p>
    <w:p>
      <w:pPr>
        <w:spacing w:line="360" w:lineRule="auto" w:before="0" w:after="0"/>
        <w:ind w:firstLine="480"/>
        <w:jc w:val="both"/>
      </w:pPr>
      <w:r>
        <w:rPr>
          <w:rFonts w:ascii="Times New Roman" w:hAnsi="Times New Roman" w:cs="Times New Roman" w:eastAsia="宋体"/>
          <w:sz w:val="24"/>
        </w:rPr>
        <w:t>杨岚等研究进一步将 PlGF、SFLT-1 与糖基化纤连蛋白联合检测用于子痫前期预测。该研究纳入 188 例孕妇，其中正常孕妇 154 例、子痫前期 34 例，在孕 16-18 周采集血清并采用免疫荧光法检测相关指标。结果显示，PLGF、SFLT-1 和糖基化纤连蛋白单项预测 AUC 分别为 0.941、0.881 和 0.951，三项联合 AUC 达 0.986[12]。该研究的意义在于提示国内研究正在从单一指标向多标志物联合模型发展，也说明中孕期早期筛查可能是未来应用方向之一。</w:t>
      </w:r>
    </w:p>
    <w:p>
      <w:pPr>
        <w:spacing w:line="360" w:lineRule="auto" w:before="0" w:after="0"/>
        <w:ind w:firstLine="480"/>
        <w:jc w:val="both"/>
      </w:pPr>
      <w:r>
        <w:rPr>
          <w:rFonts w:ascii="Times New Roman" w:hAnsi="Times New Roman" w:cs="Times New Roman" w:eastAsia="宋体"/>
          <w:sz w:val="24"/>
        </w:rPr>
        <w:t>然而，中文研究在引用时也需要谨慎。部分研究为单中心设计，样本量相对有限，研究对象、孕周范围、检测平台和结局定义未必与国际多中心研究完全一致。若直接将国内研究中的 AUC 或截断值推广到所有孕妇，可能造成过度外推。更合理的写法是：中文研究为国内应用提供了积极线索，提示 sFlt-1/PlGF 或多标志物联合检测具有较好预测潜力；但其临床推广仍需更多多中心、前瞻性、标准化平台研究支持。</w:t>
      </w:r>
    </w:p>
    <w:p>
      <w:pPr>
        <w:pStyle w:val="Heading2"/>
        <w:keepNext/>
        <w:jc w:val="left"/>
      </w:pPr>
      <w:r>
        <w:rPr>
          <w:rFonts w:ascii="Times New Roman" w:hAnsi="Times New Roman" w:cs="Times New Roman" w:eastAsia="黑体"/>
          <w:b w:val="0"/>
          <w:sz w:val="28"/>
        </w:rPr>
        <w:t>4.7 证据综合：临床检验应用的合理定位</w:t>
      </w:r>
    </w:p>
    <w:p>
      <w:pPr>
        <w:spacing w:line="360" w:lineRule="auto" w:before="0" w:after="0"/>
        <w:ind w:firstLine="480"/>
        <w:jc w:val="both"/>
      </w:pPr>
      <w:r>
        <w:rPr>
          <w:rFonts w:ascii="Times New Roman" w:hAnsi="Times New Roman" w:cs="Times New Roman" w:eastAsia="宋体"/>
          <w:sz w:val="24"/>
        </w:rPr>
        <w:t>综合现有证据，sFlt-1/PlGF 比值的合理定位可以概括为三点。第一，它是子痫前期血管生成失衡的实验室表达，适合与临床评估结合，而不是单独替代诊断标准。第二，它最明确的价值是短期排除和风险分层，特别是在疑似子痫前期孕妇中，比值较低可提示近期发生子痫前期的可能性很低。第三，比值升高提示风险增加，但阳性预测能力受孕周、人群、平台和截断值影响，需要结合临床信息和动态复查。</w:t>
      </w:r>
    </w:p>
    <w:p>
      <w:pPr>
        <w:spacing w:line="360" w:lineRule="auto" w:before="0" w:after="0"/>
        <w:ind w:firstLine="480"/>
        <w:jc w:val="both"/>
      </w:pPr>
      <w:r>
        <w:rPr>
          <w:rFonts w:ascii="Times New Roman" w:hAnsi="Times New Roman" w:cs="Times New Roman" w:eastAsia="宋体"/>
          <w:sz w:val="24"/>
        </w:rPr>
        <w:t>从医学检验角度看，sFlt-1/PlGF 比值的应用价值取决于“检测—解释—沟通—决策”四个环节。检测环节要求样本和平台可靠；解释环节要求明确孕周、截断值和适用范围；沟通环节要求检验人员能向临床说明短期排除、辅助诊断和风险分层的差别；决策环节则要求临床将结果与血压、蛋白尿、器官功能、胎儿情况和患者症状综合判断。若这些环节衔接良好，该比值可以提高疑似子痫前期管理的精细化程度；若只把它作为孤立化验值，则容易出现误读。</w:t>
      </w:r>
    </w:p>
    <w:p>
      <w:pPr>
        <w:spacing w:line="360" w:lineRule="auto" w:before="0" w:after="0"/>
        <w:ind w:firstLine="480"/>
        <w:jc w:val="both"/>
      </w:pPr>
      <w:r>
        <w:rPr>
          <w:rFonts w:ascii="Times New Roman" w:hAnsi="Times New Roman" w:cs="Times New Roman" w:eastAsia="宋体"/>
          <w:sz w:val="24"/>
        </w:rPr>
        <w:t>因此，本文认为 sFlt-1/PlGF 比值的高分综述写作重点不应停留在“该指标有无意义”，而应进一步回答“该指标在什么人群、什么孕周、什么检测平台、什么截断值、什么临床场景下有意义”。这既能体现文献综述的分析深度，也能突出医学检验技术专业对临床结果解释和质量控制的责任。</w:t>
      </w:r>
    </w:p>
    <w:p>
      <w:pPr>
        <w:spacing w:before="160" w:after="80"/>
        <w:jc w:val="center"/>
      </w:pPr>
      <w:r>
        <w:rPr>
          <w:rFonts w:ascii="Times New Roman" w:hAnsi="Times New Roman" w:cs="Times New Roman" w:eastAsia="宋体"/>
          <w:b w:val="0"/>
          <w:sz w:val="21"/>
        </w:rPr>
        <w:t>表 3 核心证据矩阵</w:t>
      </w:r>
    </w:p>
    <w:tbl>
      <w:tblPr>
        <w:tblW w:type="dxa" w:w="9359"/>
        <w:jc w:val="center"/>
        <w:tblLayout w:type="fixed"/>
        <w:tblLook w:firstColumn="1" w:firstRow="1" w:lastColumn="0" w:lastRow="0" w:noHBand="0" w:noVBand="1" w:val="04A0"/>
      </w:tblPr>
      <w:tblGrid>
        <w:gridCol w:w="2880"/>
        <w:gridCol w:w="4464"/>
        <w:gridCol w:w="2015"/>
      </w:tblGrid>
      <w:tr>
        <w:trPr>
          <w:trHeight w:hRule="auto"/>
          <w:tblHeader w:val="true"/>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9"/>
              </w:rPr>
              <w:t>文献或来源</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9"/>
              </w:rPr>
              <w:t>证据重点</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9"/>
              </w:rPr>
              <w:t>本文用途</w:t>
            </w:r>
          </w:p>
        </w:tc>
      </w:tr>
      <w:tr>
        <w:trPr>
          <w:trHeight w:hRule="auto"/>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NICE PLGF-based testing guidance[1]</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PLGF 或 sFlt-1/PlGF 检测应与标准临床评估联合使用。</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确定临床应用边界。</w:t>
            </w:r>
          </w:p>
        </w:tc>
      </w:tr>
      <w:tr>
        <w:trPr>
          <w:trHeight w:hRule="auto"/>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Zeisler 等 PROGNOSIS 研究[2]</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比值 ≤38 对 1 周内无子痫前期 NPV 为 99.3%。</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短期排除价值核心证据。</w:t>
            </w:r>
          </w:p>
        </w:tc>
      </w:tr>
      <w:tr>
        <w:trPr>
          <w:trHeight w:hRule="auto"/>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Zhang 等 2025 Meta 分析[3]</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sFlt-1/PlGF AUC 0.92，高于单项 sFlt-1 或 PlGF。</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总体预测性能和局限。</w:t>
            </w:r>
          </w:p>
        </w:tc>
      </w:tr>
      <w:tr>
        <w:trPr>
          <w:trHeight w:hRule="auto"/>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Zhao 等 2017 Meta 分析[4]</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双截断策略支持低风险、高风险和灰区分层。</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截断值解释和风险分层。</w:t>
            </w:r>
          </w:p>
        </w:tc>
      </w:tr>
      <w:tr>
        <w:trPr>
          <w:trHeight w:hRule="auto"/>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Espinoza 等 2024 研究[5]</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MoM 11.5 预测 2 周内重症特征，AUC 0.91。</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重症短期风险分层。</w:t>
            </w:r>
          </w:p>
        </w:tc>
      </w:tr>
      <w:tr>
        <w:trPr>
          <w:trHeight w:hRule="auto"/>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胡吉霞等 2022 研究[6]</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比值预测早发型子痫前期 AUC 0.873。</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国内中文临床证据。</w:t>
            </w:r>
          </w:p>
        </w:tc>
      </w:tr>
      <w:tr>
        <w:trPr>
          <w:trHeight w:hRule="auto"/>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杨岚等 2024 研究[12]</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PLGF、SFLT-1、GLYFN 三项联合 AUC 0.986。</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多标志物联合证据。</w:t>
            </w:r>
          </w:p>
        </w:tc>
      </w:tr>
      <w:tr>
        <w:trPr>
          <w:trHeight w:hRule="auto"/>
        </w:trPr>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Lafuente-Ganuza 等 2020 研究[13]</w:t>
            </w:r>
          </w:p>
        </w:tc>
        <w:tc>
          <w:tcPr>
            <w:tcW w:type="dxa" w:w="4464"/>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sFlt-1/PlGF 联合 NT-proBNP 可改善 rule-in/rule-out。</w:t>
            </w:r>
          </w:p>
        </w:tc>
        <w:tc>
          <w:tcPr>
            <w:tcW w:type="dxa" w:w="2015"/>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9"/>
              </w:rPr>
              <w:t>局限性和未来方向。</w:t>
            </w:r>
          </w:p>
        </w:tc>
      </w:tr>
    </w:tbl>
    <w:p>
      <w:pPr>
        <w:spacing w:after="80"/>
      </w:pPr>
    </w:p>
    <w:p>
      <w:pPr>
        <w:spacing w:before="160" w:after="80"/>
        <w:jc w:val="center"/>
      </w:pPr>
      <w:r>
        <w:rPr>
          <w:rFonts w:ascii="Times New Roman" w:hAnsi="Times New Roman" w:cs="Times New Roman" w:eastAsia="宋体"/>
          <w:b w:val="0"/>
          <w:sz w:val="21"/>
        </w:rPr>
        <w:t>图 1 sFlt-1/PlGF 比值辅助临床决策路径</w:t>
      </w:r>
    </w:p>
    <w:tbl>
      <w:tblPr>
        <w:tblW w:type="dxa" w:w="8568"/>
        <w:jc w:val="center"/>
        <w:tblLayout w:type="fixed"/>
        <w:tblLook w:firstColumn="1" w:firstRow="1" w:lastColumn="0" w:lastRow="0" w:noHBand="0" w:noVBand="1" w:val="04A0"/>
      </w:tblPr>
      <w:tblGrid>
        <w:gridCol w:w="8568"/>
      </w:tblGrid>
      <w:tr>
        <w:trPr>
          <w:trHeight w:hRule="auto"/>
        </w:trPr>
        <w:tc>
          <w:tcPr>
            <w:tcW w:type="dxa" w:w="8568"/>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1"/>
              </w:rPr>
              <w:t>疑似或高风险子痫前期孕妇</w:t>
            </w:r>
          </w:p>
        </w:tc>
      </w:tr>
      <w:tr>
        <w:trPr>
          <w:trHeight w:hRule="auto"/>
        </w:trPr>
        <w:tc>
          <w:tcPr>
            <w:tcW w:type="dxa" w:w="8568"/>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568"/>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1"/>
              </w:rPr>
              <w:t>核对孕周、单胎/多胎、症状、血压、尿蛋白和常规实验室指标</w:t>
            </w:r>
          </w:p>
        </w:tc>
      </w:tr>
      <w:tr>
        <w:trPr>
          <w:trHeight w:hRule="auto"/>
        </w:trPr>
        <w:tc>
          <w:tcPr>
            <w:tcW w:type="dxa" w:w="8568"/>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568"/>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1"/>
              </w:rPr>
              <w:t>采集血清/血浆并检测 sFlt-1、PlGF，计算 sFlt-1/PlGF 比值</w:t>
            </w:r>
          </w:p>
        </w:tc>
      </w:tr>
      <w:tr>
        <w:trPr>
          <w:trHeight w:hRule="auto"/>
        </w:trPr>
        <w:tc>
          <w:tcPr>
            <w:tcW w:type="dxa" w:w="8568"/>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568"/>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1"/>
              </w:rPr>
              <w:t>结合平台说明书、孕周范围和研究证据解释结果</w:t>
            </w:r>
          </w:p>
        </w:tc>
      </w:tr>
      <w:tr>
        <w:trPr>
          <w:trHeight w:hRule="auto"/>
        </w:trPr>
        <w:tc>
          <w:tcPr>
            <w:tcW w:type="dxa" w:w="8568"/>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568"/>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1"/>
              </w:rPr>
              <w:t>低风险：提示短期发生子痫前期可能性较低，继续临床随访</w:t>
            </w:r>
          </w:p>
        </w:tc>
      </w:tr>
      <w:tr>
        <w:trPr>
          <w:trHeight w:hRule="auto"/>
        </w:trPr>
        <w:tc>
          <w:tcPr>
            <w:tcW w:type="dxa" w:w="8568"/>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568"/>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1"/>
              </w:rPr>
              <w:t>灰区：结合临床表现、胎儿情况和动态复查判断</w:t>
            </w:r>
          </w:p>
        </w:tc>
      </w:tr>
      <w:tr>
        <w:trPr>
          <w:trHeight w:hRule="auto"/>
        </w:trPr>
        <w:tc>
          <w:tcPr>
            <w:tcW w:type="dxa" w:w="8568"/>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568"/>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1"/>
              </w:rPr>
              <w:t>高风险：提示风险升高，加强监测、转诊或住院评估</w:t>
            </w:r>
          </w:p>
        </w:tc>
      </w:tr>
      <w:tr>
        <w:trPr>
          <w:trHeight w:hRule="auto"/>
        </w:trPr>
        <w:tc>
          <w:tcPr>
            <w:tcW w:type="dxa" w:w="8568"/>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568"/>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1"/>
              </w:rPr>
              <w:t>检验科复核质控、报告备注并与临床沟通，避免将比值单独作为确诊依据</w:t>
            </w:r>
          </w:p>
        </w:tc>
      </w:tr>
    </w:tbl>
    <w:p>
      <w:pPr>
        <w:spacing w:after="120"/>
      </w:pPr>
    </w:p>
    <w:p>
      <w:pPr>
        <w:pStyle w:val="Heading1"/>
        <w:keepNext/>
        <w:jc w:val="left"/>
      </w:pPr>
      <w:r>
        <w:rPr>
          <w:rFonts w:ascii="Times New Roman" w:hAnsi="Times New Roman" w:cs="Times New Roman" w:eastAsia="黑体"/>
          <w:b w:val="0"/>
          <w:sz w:val="32"/>
        </w:rPr>
        <w:t>5 临床应用局限、影响因素与质量控制</w:t>
      </w:r>
    </w:p>
    <w:p>
      <w:pPr>
        <w:pStyle w:val="Heading2"/>
        <w:keepNext/>
        <w:jc w:val="left"/>
      </w:pPr>
      <w:r>
        <w:rPr>
          <w:rFonts w:ascii="Times New Roman" w:hAnsi="Times New Roman" w:cs="Times New Roman" w:eastAsia="黑体"/>
          <w:b w:val="0"/>
          <w:sz w:val="28"/>
        </w:rPr>
        <w:t>5.1 预测性能与临床结局之间仍有距离</w:t>
      </w:r>
    </w:p>
    <w:p>
      <w:pPr>
        <w:spacing w:line="360" w:lineRule="auto" w:before="0" w:after="0"/>
        <w:ind w:firstLine="480"/>
        <w:jc w:val="both"/>
      </w:pPr>
      <w:r>
        <w:rPr>
          <w:rFonts w:ascii="Times New Roman" w:hAnsi="Times New Roman" w:cs="Times New Roman" w:eastAsia="宋体"/>
          <w:sz w:val="24"/>
        </w:rPr>
        <w:t>sFlt-1/PlGF 比值在多项研究中显示出较好的预测性能，但预测性能并不等同于临床结局改善。AUC、敏感度、特异度、阴性预测值和阳性预测值说明的是检测结果对某一结局的区分能力，而不是检测项目本身必然能够降低早产率、减少母婴并发症或改善长期预后。Zhang 等 Meta 分析虽然显示 sFlt-1/PlGF 比值预测子痫前期的 AUC 高于单项 sFlt-1 或 PlGF，但也指出目前仍缺乏足够数据证明这些生物标志物的使用已经明确改善妊娠结局[3]。这意味着在课程论文中不能把“预测准确”直接写成“临床获益已经确定”。</w:t>
      </w:r>
    </w:p>
    <w:p>
      <w:pPr>
        <w:spacing w:line="360" w:lineRule="auto" w:before="0" w:after="0"/>
        <w:ind w:firstLine="480"/>
        <w:jc w:val="both"/>
      </w:pPr>
      <w:r>
        <w:rPr>
          <w:rFonts w:ascii="Times New Roman" w:hAnsi="Times New Roman" w:cs="Times New Roman" w:eastAsia="宋体"/>
          <w:sz w:val="24"/>
        </w:rPr>
        <w:t>临床检验项目要真正进入常规路径，通常需要经过从诊断准确性到临床有效性的多层验证。第一层是分析性能，即检测是否准确、稳定、可重复；第二层是诊断或预测性能，即结果是否能区分高低风险；第三层是临床效用，即使用该检测是否改变管理策略并改善患者结局。sFlt-1/PlGF 比值目前在前两层已有较多证据，在第三层仍需要更多真实世界研究、成本效益研究和管理路径研究支持。对于医学检验人员而言，理解这一区别有助于避免过度宣传，也有助于在报告解释中保持谨慎。</w:t>
      </w:r>
    </w:p>
    <w:p>
      <w:pPr>
        <w:pStyle w:val="Heading2"/>
        <w:keepNext/>
        <w:jc w:val="left"/>
      </w:pPr>
      <w:r>
        <w:rPr>
          <w:rFonts w:ascii="Times New Roman" w:hAnsi="Times New Roman" w:cs="Times New Roman" w:eastAsia="黑体"/>
          <w:b w:val="0"/>
          <w:sz w:val="28"/>
        </w:rPr>
        <w:t>5.2 人群、孕周和疾病亚型影响结果解释</w:t>
      </w:r>
    </w:p>
    <w:p>
      <w:pPr>
        <w:spacing w:line="360" w:lineRule="auto" w:before="0" w:after="0"/>
        <w:ind w:firstLine="480"/>
        <w:jc w:val="both"/>
      </w:pPr>
      <w:r>
        <w:rPr>
          <w:rFonts w:ascii="Times New Roman" w:hAnsi="Times New Roman" w:cs="Times New Roman" w:eastAsia="宋体"/>
          <w:sz w:val="24"/>
        </w:rPr>
        <w:t>子痫前期不是单一均质疾病。早发型与晚发型子痫前期在胎盘病理、母体因素、胎儿生长受限风险和临床进展速度上可能不同。早发型病例往往与胎盘功能不良和血管生成失衡关系更密切，因此 sFlt-1/PlGF 比值异常可能更明显；晚发型病例可能更多受母体代谢、血管和炎症状态影响，比值表现和预测价值可能不同。Zhao 等提出早发型和晚发型可采用不同高截断值，正体现了疾病亚型对解释策略的影响[4]。</w:t>
      </w:r>
    </w:p>
    <w:p>
      <w:pPr>
        <w:spacing w:line="360" w:lineRule="auto" w:before="0" w:after="0"/>
        <w:ind w:firstLine="480"/>
        <w:jc w:val="both"/>
      </w:pPr>
      <w:r>
        <w:rPr>
          <w:rFonts w:ascii="Times New Roman" w:hAnsi="Times New Roman" w:cs="Times New Roman" w:eastAsia="宋体"/>
          <w:sz w:val="24"/>
        </w:rPr>
        <w:t>孕周同样是重要因素。PlGF 和 sFlt-1 在妊娠过程中并非固定不变，正常妊娠中也存在动态变化。如果不考虑孕周，可能把生理变化误判为病理变化，或低估某些孕周阶段的风险。PROGNOSIS 研究的适用范围是 24+0 至 36+6 周疑似子痫前期单胎孕妇[2]，而 NICE 指导中也提醒不同 PLGF-based tests 的适用孕周和使用方式并不完全相同[1]。因此，检验报告不能脱离孕周进行解释，临床申请单也应尽量提供准确孕周信息。</w:t>
      </w:r>
    </w:p>
    <w:p>
      <w:pPr>
        <w:spacing w:line="360" w:lineRule="auto" w:before="0" w:after="0"/>
        <w:ind w:firstLine="480"/>
        <w:jc w:val="both"/>
      </w:pPr>
      <w:r>
        <w:rPr>
          <w:rFonts w:ascii="Times New Roman" w:hAnsi="Times New Roman" w:cs="Times New Roman" w:eastAsia="宋体"/>
          <w:sz w:val="24"/>
        </w:rPr>
        <w:t>此外，多胎妊娠、胎儿生长受限、慢性高血压、肾脏疾病、自身免疫疾病和糖尿病等情况，都可能影响临床表现和实验室结果。若研究人群主要来自单胎疑似子痫前期孕妇，则不能直接推广到所有高危妊娠人群。未来若要在更广泛人群中使用 sFlt-1/PlGF 比值，需要针对不同基础疾病和妊娠类型建立独立验证证据。</w:t>
      </w:r>
    </w:p>
    <w:p>
      <w:pPr>
        <w:pStyle w:val="Heading2"/>
        <w:keepNext/>
        <w:jc w:val="left"/>
      </w:pPr>
      <w:r>
        <w:rPr>
          <w:rFonts w:ascii="Times New Roman" w:hAnsi="Times New Roman" w:cs="Times New Roman" w:eastAsia="黑体"/>
          <w:b w:val="0"/>
          <w:sz w:val="28"/>
        </w:rPr>
        <w:t>5.3 检测平台和截断值不可简单通用</w:t>
      </w:r>
    </w:p>
    <w:p>
      <w:pPr>
        <w:spacing w:line="360" w:lineRule="auto" w:before="0" w:after="0"/>
        <w:ind w:firstLine="480"/>
        <w:jc w:val="both"/>
      </w:pPr>
      <w:r>
        <w:rPr>
          <w:rFonts w:ascii="Times New Roman" w:hAnsi="Times New Roman" w:cs="Times New Roman" w:eastAsia="宋体"/>
          <w:sz w:val="24"/>
        </w:rPr>
        <w:t>不同检测平台之间可能存在校准、抗体体系、检测范围、线性区间和报告单位差异。即使检测对象同为 sFlt-1 和 PlGF，不同平台获得的绝对数值也未必完全一致。Navaratnam 等比较 PlGF 检测与 sFlt-1/PlGF 比值的一致性和预测准确性，提示不同测试之间存在一致性和性能差异问题[14]。这对临床实验室有重要提醒：某一平台研究得到的阈值，不能不经验证地套用到其他平台。</w:t>
      </w:r>
    </w:p>
    <w:p>
      <w:pPr>
        <w:spacing w:line="360" w:lineRule="auto" w:before="0" w:after="0"/>
        <w:ind w:firstLine="480"/>
        <w:jc w:val="both"/>
      </w:pPr>
      <w:r>
        <w:rPr>
          <w:rFonts w:ascii="Times New Roman" w:hAnsi="Times New Roman" w:cs="Times New Roman" w:eastAsia="宋体"/>
          <w:sz w:val="24"/>
        </w:rPr>
        <w:t>截断值本身也受目标用途影响。若用于短期排除，阈值应尽量保证高阴性预测值和较高敏感度；若用于提示高风险，则需要较高特异度；若用于重症风险分层，则还要关注结局定义和预测时间窗。PROGNOSIS 的 38 截断值主要服务于疑似子痫前期孕妇 1 周内排除[2]；Zhao 等双截断策略强调低风险、高风险和灰区分层[4]；Espinoza 等则使用 MoM 化比值预测 2 周内重症特征[5]。这些研究回答的是不同问题，因此不能在论文中把所有阈值混为同一种意义。</w:t>
      </w:r>
    </w:p>
    <w:p>
      <w:pPr>
        <w:spacing w:line="360" w:lineRule="auto" w:before="0" w:after="0"/>
        <w:ind w:firstLine="480"/>
        <w:jc w:val="both"/>
      </w:pPr>
      <w:r>
        <w:rPr>
          <w:rFonts w:ascii="Times New Roman" w:hAnsi="Times New Roman" w:cs="Times New Roman" w:eastAsia="宋体"/>
          <w:sz w:val="24"/>
        </w:rPr>
        <w:t>从质量管理角度看，实验室引入 sFlt-1/PlGF 比值检测前，应明确使用平台、适用人群、参考解释范围和报告格式。若医院使用的平台与指南或研究中的平台不同，应谨慎评价方法学可比性。对于新平台或新试剂，至少应完成基本性能验证，包括精密度、准确度、线性范围、参考区间或医学决定水平验证、批间差异评估等。只有在方法学可靠的基础上，临床解释才有意义。</w:t>
      </w:r>
    </w:p>
    <w:p>
      <w:pPr>
        <w:pStyle w:val="Heading2"/>
        <w:keepNext/>
        <w:jc w:val="left"/>
      </w:pPr>
      <w:r>
        <w:rPr>
          <w:rFonts w:ascii="Times New Roman" w:hAnsi="Times New Roman" w:cs="Times New Roman" w:eastAsia="黑体"/>
          <w:b w:val="0"/>
          <w:sz w:val="28"/>
        </w:rPr>
        <w:t>5.4 假阳性、假阴性和灰区结果的临床后果</w:t>
      </w:r>
    </w:p>
    <w:p>
      <w:pPr>
        <w:spacing w:line="360" w:lineRule="auto" w:before="0" w:after="0"/>
        <w:ind w:firstLine="480"/>
        <w:jc w:val="both"/>
      </w:pPr>
      <w:r>
        <w:rPr>
          <w:rFonts w:ascii="Times New Roman" w:hAnsi="Times New Roman" w:cs="Times New Roman" w:eastAsia="宋体"/>
          <w:sz w:val="24"/>
        </w:rPr>
        <w:t>任何预测指标都可能出现假阳性和假阴性。假阳性可能导致孕妇过度焦虑、增加住院和复查、甚至影响终止妊娠决策；假阴性则可能延误高风险孕妇的监测和处理。sFlt-1/PlGF 比值的短期排除价值较强，但并不意味着低比值后完全不需要随访。尤其在症状持续加重、血压明显升高、胎儿情况异常或常规实验室指标恶化时，即使比值较低，也应按照临床情况继续评估。</w:t>
      </w:r>
    </w:p>
    <w:p>
      <w:pPr>
        <w:spacing w:line="360" w:lineRule="auto" w:before="0" w:after="0"/>
        <w:ind w:firstLine="480"/>
        <w:jc w:val="both"/>
      </w:pPr>
      <w:r>
        <w:rPr>
          <w:rFonts w:ascii="Times New Roman" w:hAnsi="Times New Roman" w:cs="Times New Roman" w:eastAsia="宋体"/>
          <w:sz w:val="24"/>
        </w:rPr>
        <w:t>灰区结果是实际工作中常见难题。双截断策略的意义之一，就是承认部分孕妇不能被简单归入低风险或高风险。对于灰区结果，检验报告不宜给出过度确定的结论，而应提示结合临床并考虑复查。复查间隔应由临床风险决定：症状明显或高危孕妇应更密切观察，低危且症状稳定者可在门诊随访。检验人员不直接决定临床处置，但应通过报告备注和沟通帮助医生理解结果的不确定性。</w:t>
      </w:r>
    </w:p>
    <w:p>
      <w:pPr>
        <w:spacing w:line="360" w:lineRule="auto" w:before="0" w:after="0"/>
        <w:ind w:firstLine="480"/>
        <w:jc w:val="both"/>
      </w:pPr>
      <w:r>
        <w:rPr>
          <w:rFonts w:ascii="Times New Roman" w:hAnsi="Times New Roman" w:cs="Times New Roman" w:eastAsia="宋体"/>
          <w:sz w:val="24"/>
        </w:rPr>
        <w:t>阳性结果尤其需要谨慎。PROGNOSIS 研究中 &gt;38 的阳性预测值为 36.7%[2]，说明高比值提示风险上升，但许多高比值孕妇并不会在 4 周内发生子痫前期。因此，若报告中只写“阳性”，容易使临床和患者产生过度确定的理解。更合理的表达是“提示短期发生子痫前期风险升高，建议结合临床表现及其他实验室指标综合评估”。这种写法既体现检测价值，也避免夸大结论。</w:t>
      </w:r>
    </w:p>
    <w:p>
      <w:pPr>
        <w:pStyle w:val="Heading2"/>
        <w:keepNext/>
        <w:jc w:val="left"/>
      </w:pPr>
      <w:r>
        <w:rPr>
          <w:rFonts w:ascii="Times New Roman" w:hAnsi="Times New Roman" w:cs="Times New Roman" w:eastAsia="黑体"/>
          <w:b w:val="0"/>
          <w:sz w:val="28"/>
        </w:rPr>
        <w:t>5.5 多指标联合与动态监测是未来方向</w:t>
      </w:r>
    </w:p>
    <w:p>
      <w:pPr>
        <w:spacing w:line="360" w:lineRule="auto" w:before="0" w:after="0"/>
        <w:ind w:firstLine="480"/>
        <w:jc w:val="both"/>
      </w:pPr>
      <w:r>
        <w:rPr>
          <w:rFonts w:ascii="Times New Roman" w:hAnsi="Times New Roman" w:cs="Times New Roman" w:eastAsia="宋体"/>
          <w:sz w:val="24"/>
        </w:rPr>
        <w:t>单一生物标志物往往难以覆盖复杂临床场景。Lafuente-Ganuza 等研究使用 sFlt-1/PlGF 比值与 NT-proBNP 联合，以优化子痫前期的 rule-in 和 rule-out 判断，提示在部分场景中联合心血管负荷相关指标可能改善预测表现[13]。国内杨岚等研究也显示 PLGF、SFLT-1 与糖基化纤连蛋白联合预测子痫前期的 AUC 高于单项指标[12]。这些研究共同说明，未来检验医学应用可能从单一比值走向多标志物组合和综合风险模型。</w:t>
      </w:r>
    </w:p>
    <w:p>
      <w:pPr>
        <w:spacing w:line="360" w:lineRule="auto" w:before="0" w:after="0"/>
        <w:ind w:firstLine="480"/>
        <w:jc w:val="both"/>
      </w:pPr>
      <w:r>
        <w:rPr>
          <w:rFonts w:ascii="Times New Roman" w:hAnsi="Times New Roman" w:cs="Times New Roman" w:eastAsia="宋体"/>
          <w:sz w:val="24"/>
        </w:rPr>
        <w:t>动态监测也值得重视。子痫前期是进展性疾病，单次检测只能反映某一时间点的风险状态。如果孕妇处于灰区或临床症状变化，重复检测可能比单次数值更有意义。动态变化可以帮助判断血管生成失衡是否加重，也可以辅助临床决定是否需要调整随访频率或住院观察。但动态监测的前提是检测条件相对一致，最好使用同一平台、相同样本类型和规范采样流程，否则变化趋势可能混入方法学差异。</w:t>
      </w:r>
    </w:p>
    <w:p>
      <w:pPr>
        <w:spacing w:line="360" w:lineRule="auto" w:before="0" w:after="0"/>
        <w:ind w:firstLine="480"/>
        <w:jc w:val="both"/>
      </w:pPr>
      <w:r>
        <w:rPr>
          <w:rFonts w:ascii="Times New Roman" w:hAnsi="Times New Roman" w:cs="Times New Roman" w:eastAsia="宋体"/>
          <w:sz w:val="24"/>
        </w:rPr>
        <w:t>不过，多指标联合和动态监测也会带来新的问题。检测项目增多会提高成本，也可能增加假阳性概率；模型越复杂，对临床解释和实验室信息系统的要求越高。Stepan 等提出可通过组合生物标志物重新认识“血管生成-胎盘综合征”，提示未来研究不应局限于单一指标，而应将血管生成因子、临床特征和妊娠结局整合分析[15]。Aminuddin 等在中高风险孕妇中评估 sFlt-1/PlGF 比值预测子痫前期和不良妊娠结局的可行性，也说明该指标的应用场景可从疑似病例管理延伸到更广泛的风险评估，但需要结合地区人群和医疗路径验证[16]。</w:t>
      </w:r>
    </w:p>
    <w:p>
      <w:pPr>
        <w:spacing w:line="360" w:lineRule="auto" w:before="0" w:after="0"/>
        <w:ind w:firstLine="480"/>
        <w:jc w:val="both"/>
      </w:pPr>
      <w:r>
        <w:rPr>
          <w:rFonts w:ascii="Times New Roman" w:hAnsi="Times New Roman" w:cs="Times New Roman" w:eastAsia="宋体"/>
          <w:sz w:val="24"/>
        </w:rPr>
        <w:t>同时，预测模型能否改善母婴结局仍是后续研究重点。Bucher 等关于子痫前期和妊娠期高血压疾病不良母婴结局预测的系统综述与 Meta 分析提示，围绕结局预测的证据正在增加，但不同模型、终点和人群之间异质性较大[17]。Rosenberg 和 Seely 对子痫前期及妊娠期高血压疾病的更新综述也显示，疾病管理需要结合病理机制、母体基础风险和临床监测，而不是依赖某一项检验结果[18]。因此，未来研究不仅要比较 AUC，也要评价联合检测是否真正改善管理效率、减少不良结局、降低不必要住院和提高患者获益。</w:t>
      </w:r>
    </w:p>
    <w:p>
      <w:pPr>
        <w:pStyle w:val="Heading2"/>
        <w:keepNext/>
        <w:jc w:val="left"/>
      </w:pPr>
      <w:r>
        <w:rPr>
          <w:rFonts w:ascii="Times New Roman" w:hAnsi="Times New Roman" w:cs="Times New Roman" w:eastAsia="黑体"/>
          <w:b w:val="0"/>
          <w:sz w:val="28"/>
        </w:rPr>
        <w:t>5.6 检验科质量控制与报告规范</w:t>
      </w:r>
    </w:p>
    <w:p>
      <w:pPr>
        <w:spacing w:line="360" w:lineRule="auto" w:before="0" w:after="0"/>
        <w:ind w:firstLine="480"/>
        <w:jc w:val="both"/>
      </w:pPr>
      <w:r>
        <w:rPr>
          <w:rFonts w:ascii="Times New Roman" w:hAnsi="Times New Roman" w:cs="Times New Roman" w:eastAsia="宋体"/>
          <w:sz w:val="24"/>
        </w:rPr>
        <w:t>sFlt-1/PlGF 比值检测属于临床决策影响较大的项目，质量控制要求应高于一般筛查性指标。实验室应建立从检验前到检验后的完整质量控制流程。检验前应核对患者身份、孕周、样本类型、采血时间、运输和保存条件；检验中应关注仪器状态、校准、质控品结果、试剂批号和异常报警；检验后应复核结果、判断是否与历史结果或临床背景矛盾，并在必要时与临床沟通。</w:t>
      </w:r>
    </w:p>
    <w:p>
      <w:pPr>
        <w:spacing w:line="360" w:lineRule="auto" w:before="0" w:after="0"/>
        <w:ind w:firstLine="480"/>
        <w:jc w:val="both"/>
      </w:pPr>
      <w:r>
        <w:rPr>
          <w:rFonts w:ascii="Times New Roman" w:hAnsi="Times New Roman" w:cs="Times New Roman" w:eastAsia="宋体"/>
          <w:sz w:val="24"/>
        </w:rPr>
        <w:t>报告格式应尽量清晰。理想报告至少包括 sFlt-1 浓度、PlGF 浓度、sFlt-1/PlGF 比值、检测平台、样本类型、报告单位、参考解释范围和适用说明。若采用特定截断值，应说明该截断值适用于何种孕周和临床场景。例如，若采用 38 作为短期排除参考，应说明该阈值主要来源于疑似子痫前期孕妇短期预测研究，而不是所有妊娠人群的通用诊断界值。对于超出平台适用范围的孕周或特殊人群，报告应提示谨慎解释。</w:t>
      </w:r>
    </w:p>
    <w:p>
      <w:pPr>
        <w:spacing w:line="360" w:lineRule="auto" w:before="0" w:after="0"/>
        <w:ind w:firstLine="480"/>
        <w:jc w:val="both"/>
      </w:pPr>
      <w:r>
        <w:rPr>
          <w:rFonts w:ascii="Times New Roman" w:hAnsi="Times New Roman" w:cs="Times New Roman" w:eastAsia="宋体"/>
          <w:sz w:val="24"/>
        </w:rPr>
        <w:t>检验人员还应避免在报告中使用过度确定的临床诊断语言。检测结果可以提示“短期风险较低”“风险升高”“建议结合临床评估”，但不宜写成“确诊子痫前期”或“排除所有风险”。这既是科学准确性的要求，也是医学检验人员履行岗位边界和学术伦理的体现。</w:t>
      </w:r>
    </w:p>
    <w:p>
      <w:pPr>
        <w:pStyle w:val="Heading2"/>
        <w:keepNext/>
        <w:jc w:val="left"/>
      </w:pPr>
      <w:r>
        <w:rPr>
          <w:rFonts w:ascii="Times New Roman" w:hAnsi="Times New Roman" w:cs="Times New Roman" w:eastAsia="黑体"/>
          <w:b w:val="0"/>
          <w:sz w:val="28"/>
        </w:rPr>
        <w:t>5.7 临床沟通与学术伦理</w:t>
      </w:r>
    </w:p>
    <w:p>
      <w:pPr>
        <w:spacing w:line="360" w:lineRule="auto" w:before="0" w:after="0"/>
        <w:ind w:firstLine="480"/>
        <w:jc w:val="both"/>
      </w:pPr>
      <w:r>
        <w:rPr>
          <w:rFonts w:ascii="Times New Roman" w:hAnsi="Times New Roman" w:cs="Times New Roman" w:eastAsia="宋体"/>
          <w:sz w:val="24"/>
        </w:rPr>
        <w:t>sFlt-1/PlGF 比值处在检验医学和产科临床交叉位置，良好的临床沟通对其应用非常关键。临床医生关心的是下一步管理：是否可以门诊随访，是否需要住院，是否需要转诊，是否需要更密切监测胎儿；检验人员关心的是结果是否可靠、是否适用、是否有必要复查。双方如果只围绕“数值高低”沟通，很容易忽视该指标的预测时间窗和适用条件。</w:t>
      </w:r>
    </w:p>
    <w:p>
      <w:pPr>
        <w:spacing w:line="360" w:lineRule="auto" w:before="0" w:after="0"/>
        <w:ind w:firstLine="480"/>
        <w:jc w:val="both"/>
      </w:pPr>
      <w:r>
        <w:rPr>
          <w:rFonts w:ascii="Times New Roman" w:hAnsi="Times New Roman" w:cs="Times New Roman" w:eastAsia="宋体"/>
          <w:sz w:val="24"/>
        </w:rPr>
        <w:t>因此，实验室在推广该项目时，应与产科共同制定解释规则和沟通流程。对于低风险结果，可提示其短期排除意义；对于高风险结果，可提示风险升高并建议综合评估；对于灰区或不符合适用条件的结果，应提示不确定性和复查需求。必要时，可建立检验报告模板或临床路径说明，使不同医生和检验人员对结果含义保持一致。</w:t>
      </w:r>
    </w:p>
    <w:p>
      <w:pPr>
        <w:spacing w:line="360" w:lineRule="auto" w:before="0" w:after="0"/>
        <w:ind w:firstLine="480"/>
        <w:jc w:val="both"/>
      </w:pPr>
      <w:r>
        <w:rPr>
          <w:rFonts w:ascii="Times New Roman" w:hAnsi="Times New Roman" w:cs="Times New Roman" w:eastAsia="宋体"/>
          <w:sz w:val="24"/>
        </w:rPr>
        <w:t>从学术伦理看，论文写作和临床应用都应避免夸大检测价值。不能因为某项研究 AUC 较高，就宣称该指标可以独立诊断或完全预测子痫前期；也不能忽略阴性预测值、阳性预测值和适用人群之间的差别。对于仍待全文核实的中文线索，正文引用应保持克制，不能把未核实数据写成确定结论。本论文后续整理参考文献时，也将继续区分核心证据、候选证据和待核证据，避免引用不规范或证据等级混淆。</w:t>
      </w:r>
    </w:p>
    <w:p>
      <w:pPr>
        <w:pStyle w:val="Heading1"/>
        <w:keepNext/>
        <w:jc w:val="left"/>
      </w:pPr>
      <w:r>
        <w:rPr>
          <w:rFonts w:ascii="Times New Roman" w:hAnsi="Times New Roman" w:cs="Times New Roman" w:eastAsia="黑体"/>
          <w:b w:val="0"/>
          <w:sz w:val="32"/>
        </w:rPr>
        <w:t>6 文献检索与论文写作反思</w:t>
      </w:r>
    </w:p>
    <w:p>
      <w:pPr>
        <w:spacing w:line="360" w:lineRule="auto" w:before="0" w:after="0"/>
        <w:ind w:firstLine="480"/>
        <w:jc w:val="both"/>
      </w:pPr>
      <w:r>
        <w:rPr>
          <w:rFonts w:ascii="Times New Roman" w:hAnsi="Times New Roman" w:cs="Times New Roman" w:eastAsia="宋体"/>
          <w:sz w:val="24"/>
        </w:rPr>
        <w:t>本论文的写作过程首先体现出文献检索策略对综述质量的决定作用。最初如果只使用“子痫前期”“血清标志物”等宽泛关键词，检索结果会非常分散，容易把论文写成一般性疾病综述；将关键词逐步限定为 “sFlt-1/PlGF ratio”“soluble fms-like tyrosine kinase-1”“placental growth factor”“preeclampsia”“clinical utility”“rule out”等之后，文献范围才逐渐聚焦到血管生成标志物、短期排除、风险分层和临床检验应用。中文检索也需要同时使用“可溶性fms样酪氨酸激酶-1”“胎盘生长因子”“sFlt-1与PlGF比值”“早发型子痫前期”等不同表达，否则容易漏掉题名翻译不完全一致的文献。</w:t>
      </w:r>
    </w:p>
    <w:p>
      <w:pPr>
        <w:spacing w:line="360" w:lineRule="auto" w:before="0" w:after="0"/>
        <w:ind w:firstLine="480"/>
        <w:jc w:val="both"/>
      </w:pPr>
      <w:r>
        <w:rPr>
          <w:rFonts w:ascii="Times New Roman" w:hAnsi="Times New Roman" w:cs="Times New Roman" w:eastAsia="宋体"/>
          <w:sz w:val="24"/>
        </w:rPr>
        <w:t>在筛选文献时，本论文采用“先权威框架、后核心研究、再补充中文证据”的顺序。NICE 指导和 ISSHP 指南用于确定临床应用边界和疾病背景，PROGNOSIS 研究用于支撑短期排除价值，系统综述和 Meta 分析用于判断总体证据强度，中文临床研究用于补充国内应用情况。这样的顺序比单纯按检索结果排序摘录更可靠，因为综述写作不仅要罗列文献，还要判断证据之间的层级关系。对于同一指标，不同研究可能关注诊断、预测、短期排除、重症风险或不良妊娠结局，若不区分研究问题，容易把不同结论混在一起，造成论证逻辑不清。</w:t>
      </w:r>
    </w:p>
    <w:p>
      <w:pPr>
        <w:spacing w:line="360" w:lineRule="auto" w:before="0" w:after="0"/>
        <w:ind w:firstLine="480"/>
        <w:jc w:val="both"/>
      </w:pPr>
      <w:r>
        <w:rPr>
          <w:rFonts w:ascii="Times New Roman" w:hAnsi="Times New Roman" w:cs="Times New Roman" w:eastAsia="宋体"/>
          <w:sz w:val="24"/>
        </w:rPr>
        <w:t>本次写作也提示，医学检验类论文不能只追求“指标是否升高”或“AUC 是否较高”。真正有价值的综述应进一步追问：检测项目适用于哪类人群、哪个孕周、何种样本和平台；截断值服务于排除、纳入还是风险分层；报告结果如何被临床医生理解；假阳性和假阴性会造成什么后果；实验室如何进行质量控制。正是这些问题，使 sFlt-1/PlGF 比值从单纯的生物标志物讨论，转化为医学检验技术专业能够深入分析的应用主题。</w:t>
      </w:r>
    </w:p>
    <w:p>
      <w:pPr>
        <w:spacing w:line="360" w:lineRule="auto" w:before="0" w:after="0"/>
        <w:ind w:firstLine="480"/>
        <w:jc w:val="both"/>
      </w:pPr>
      <w:r>
        <w:rPr>
          <w:rFonts w:ascii="Times New Roman" w:hAnsi="Times New Roman" w:cs="Times New Roman" w:eastAsia="宋体"/>
          <w:sz w:val="24"/>
        </w:rPr>
        <w:t>在引用规范方面，本论文尽量为核心文献保留 DOI、PMID、指南链接或期刊页面，并在证据矩阵中标注文献用途。写作时没有把仍待全文核实的中文线索作为确定结论，也没有把单个研究的高 AUC 直接夸大为临床确诊能力。尤其是 PROGNOSIS 研究中的阴性预测值和阳性预测值差异，提醒写作者必须同时呈现有利证据和限制条件。只写“预测价值高”是不充分的，必须说明预测时间窗、适用人群和临床解释边界。</w:t>
      </w:r>
    </w:p>
    <w:p>
      <w:pPr>
        <w:spacing w:line="360" w:lineRule="auto" w:before="0" w:after="0"/>
        <w:ind w:firstLine="480"/>
        <w:jc w:val="both"/>
      </w:pPr>
      <w:r>
        <w:rPr>
          <w:rFonts w:ascii="Times New Roman" w:hAnsi="Times New Roman" w:cs="Times New Roman" w:eastAsia="宋体"/>
          <w:sz w:val="24"/>
        </w:rPr>
        <w:t>从学术伦理角度看，文献综述的诚信不仅体现在不抄袭，还体现在不虚构来源、不遗漏关键限制、不以二手信息替代原始核验、不把不确定证据写成确定结论。本论文后续定稿仍需继续完成参考文献格式统一、图表编号、正文引用对应关系和 Word 模板排版检查。通过本次课程论文写作可以认识到，文献检索不是写作前的附属步骤，而是选题、论证、证据评价和学术规范的共同基础。</w:t>
      </w:r>
    </w:p>
    <w:p>
      <w:pPr>
        <w:pStyle w:val="Heading1"/>
        <w:keepNext/>
        <w:spacing w:before="280" w:after="200"/>
        <w:jc w:val="center"/>
      </w:pPr>
      <w:r>
        <w:rPr>
          <w:rFonts w:ascii="Times New Roman" w:hAnsi="Times New Roman" w:cs="Times New Roman" w:eastAsia="黑体"/>
          <w:b w:val="0"/>
          <w:sz w:val="32"/>
        </w:rPr>
        <w:t>结论</w:t>
      </w:r>
    </w:p>
    <w:p>
      <w:pPr>
        <w:spacing w:line="360" w:lineRule="auto" w:before="0" w:after="0"/>
        <w:ind w:firstLine="480"/>
        <w:jc w:val="both"/>
      </w:pPr>
      <w:r>
        <w:rPr>
          <w:rFonts w:ascii="Times New Roman" w:hAnsi="Times New Roman" w:cs="Times New Roman" w:eastAsia="宋体"/>
          <w:sz w:val="24"/>
        </w:rPr>
        <w:t>sFlt-1/PlGF 比值以血管生成失衡机制为基础，将抗血管生成因子 sFlt-1 与促血管生成因子 PlGF 的变化整合为可检测、可解释的检验指标，为子痫前期早期预测和风险分层提供了重要工具。现有证据显示，该比值在疑似子痫前期孕妇中的短期排除价值较强，尤其适合辅助判断近期发生子痫前期的低风险状态；在阳性预测、重症风险提示和临床管理决策中也具有一定参考价值，但不能替代血压、蛋白尿、器官功能、胎儿情况和临床症状等综合评估。</w:t>
      </w:r>
    </w:p>
    <w:p>
      <w:pPr>
        <w:spacing w:line="360" w:lineRule="auto" w:before="0" w:after="0"/>
        <w:ind w:firstLine="480"/>
        <w:jc w:val="both"/>
      </w:pPr>
      <w:r>
        <w:rPr>
          <w:rFonts w:ascii="Times New Roman" w:hAnsi="Times New Roman" w:cs="Times New Roman" w:eastAsia="宋体"/>
          <w:sz w:val="24"/>
        </w:rPr>
        <w:t>从临床检验应用角度看，sFlt-1/PlGF 比值的价值不仅在于数值本身，还在于检验前信息、检测平台、孕周范围、截断值选择、报告解释和质量控制是否规范。不同人群、不同孕周、早发型与晚发型疾病亚型、不同平台和不同预测终点都会影响结果解释。因此，实验室在开展该项目时，应明确适用场景和报告边界，避免把研究阈值简单泛化为所有孕妇通用的诊断标准。</w:t>
      </w:r>
    </w:p>
    <w:p>
      <w:pPr>
        <w:spacing w:line="360" w:lineRule="auto" w:before="0" w:after="0"/>
        <w:ind w:firstLine="480"/>
        <w:jc w:val="both"/>
      </w:pPr>
      <w:r>
        <w:rPr>
          <w:rFonts w:ascii="Times New Roman" w:hAnsi="Times New Roman" w:cs="Times New Roman" w:eastAsia="宋体"/>
          <w:sz w:val="24"/>
        </w:rPr>
        <w:t>未来研究应进一步加强国内多中心验证、真实世界临床路径评价、成本效益分析、多标志物联合模型和动态监测策略研究。对于医学检验技术专业而言，sFlt-1/PlGF 比值是一个能够连接基础机制、实验室检测、临床解释和母婴结局的典型主题。合理应用该指标，有助于提高疑似子痫前期孕妇的风险评估效率；谨慎解释其局限，则是保障检验质量和临床安全的必要前提。</w:t>
      </w:r>
    </w:p>
    <w:p>
      <w:pPr>
        <w:pStyle w:val="Heading1"/>
        <w:keepNext/>
        <w:spacing w:before="280" w:after="200"/>
        <w:jc w:val="center"/>
      </w:pPr>
      <w:r>
        <w:rPr>
          <w:rFonts w:ascii="Times New Roman" w:hAnsi="Times New Roman" w:cs="Times New Roman" w:eastAsia="黑体"/>
          <w:b w:val="0"/>
          <w:sz w:val="32"/>
        </w:rPr>
        <w:t>参考文献</w:t>
      </w:r>
    </w:p>
    <w:p>
      <w:pPr>
        <w:pStyle w:val="ReferenceItem"/>
        <w:jc w:val="left"/>
      </w:pPr>
      <w:r>
        <w:rPr>
          <w:rFonts w:ascii="Times New Roman" w:hAnsi="Times New Roman" w:cs="Times New Roman" w:eastAsia="宋体"/>
          <w:sz w:val="21"/>
        </w:rPr>
        <w:t>[1] NICE. PLGF-based testing to help diagnose suspected preterm pre-eclampsia: recommendations[EB/OL]. 2022-07-27. https://www.nice.org.uk/guidance/htg630/chapter/1-Recommendations.</w:t>
      </w:r>
    </w:p>
    <w:p>
      <w:pPr>
        <w:pStyle w:val="ReferenceItem"/>
        <w:jc w:val="left"/>
      </w:pPr>
      <w:r>
        <w:rPr>
          <w:rFonts w:ascii="Times New Roman" w:hAnsi="Times New Roman" w:cs="Times New Roman" w:eastAsia="宋体"/>
          <w:sz w:val="21"/>
        </w:rPr>
        <w:t>[2] Zeisler H, Llurba E, Chantraine F, et al. Predictive Value of the sFlt-1:PlGF Ratio in Women with Suspected Preeclampsia[J]. New England Journal of Medicine, 2016, 374(1): 13-22. DOI: 10.1056/NEJMoa1414838.</w:t>
      </w:r>
    </w:p>
    <w:p>
      <w:pPr>
        <w:pStyle w:val="ReferenceItem"/>
        <w:jc w:val="left"/>
      </w:pPr>
      <w:r>
        <w:rPr>
          <w:rFonts w:ascii="Times New Roman" w:hAnsi="Times New Roman" w:cs="Times New Roman" w:eastAsia="宋体"/>
          <w:sz w:val="21"/>
        </w:rPr>
        <w:t>[3] Zhang L, Li W, Chi X, et al. Predictive performance of sFlt-1, PlGF and the sFlt-1/PlGF ratio for preeclampsia: A systematic review and meta-analysis[J]. Journal of Gynecology Obstetrics and Human Reproduction, 2025, 54(4): 102925. DOI: 10.1016/j.jogoh.2025.102925.</w:t>
      </w:r>
    </w:p>
    <w:p>
      <w:pPr>
        <w:pStyle w:val="ReferenceItem"/>
        <w:jc w:val="left"/>
      </w:pPr>
      <w:r>
        <w:rPr>
          <w:rFonts w:ascii="Times New Roman" w:hAnsi="Times New Roman" w:cs="Times New Roman" w:eastAsia="宋体"/>
          <w:sz w:val="21"/>
        </w:rPr>
        <w:t>[4] Zhao M, Zhu Z, Liu C, et al. Dual-cutoff of sFlt-1/PlGF ratio in the stratification of preeclampsia: a systematic review and meta-analysis[J]. Archives of Gynecology and Obstetrics, 2017, 295(5): 1079-1087. DOI: 10.1007/s00404-017-4302-3.</w:t>
      </w:r>
    </w:p>
    <w:p>
      <w:pPr>
        <w:pStyle w:val="ReferenceItem"/>
        <w:jc w:val="left"/>
      </w:pPr>
      <w:r>
        <w:rPr>
          <w:rFonts w:ascii="Times New Roman" w:hAnsi="Times New Roman" w:cs="Times New Roman" w:eastAsia="宋体"/>
          <w:sz w:val="21"/>
        </w:rPr>
        <w:t>[5] Espinoza J, Calsavara V F, Kilpatrick S, et al. Plasma soluble fms-like tyrosine kinase 1 to placental growth factor ratio of 11.5 multiples of median predicts preeclampsia with severe features within 2 weeks of testing[J]. American Journal of Obstetrics and Gynecology, 2024. DOI: 10.1016/j.ajog.2024.05.050.</w:t>
      </w:r>
    </w:p>
    <w:p>
      <w:pPr>
        <w:pStyle w:val="ReferenceItem"/>
        <w:jc w:val="left"/>
      </w:pPr>
      <w:r>
        <w:rPr>
          <w:rFonts w:ascii="Times New Roman" w:hAnsi="Times New Roman" w:cs="Times New Roman" w:eastAsia="宋体"/>
          <w:sz w:val="21"/>
        </w:rPr>
        <w:t>[6] 胡吉霞, 等. 血清可溶性FMS样酪氨酸激酶/胎盘生长因子比值预测早发型子痫前期的临床意义[J]. 临床与病理杂志, 2022. DOI: 10.3978/j.issn.2095-6959.2022.03.015.</w:t>
      </w:r>
    </w:p>
    <w:p>
      <w:pPr>
        <w:pStyle w:val="ReferenceItem"/>
        <w:jc w:val="left"/>
      </w:pPr>
      <w:r>
        <w:rPr>
          <w:rFonts w:ascii="Times New Roman" w:hAnsi="Times New Roman" w:cs="Times New Roman" w:eastAsia="宋体"/>
          <w:sz w:val="21"/>
        </w:rPr>
        <w:t>[7] Burwick R M, Rodriguez M H. Angiogenic Biomarkers in Preeclampsia[J]. Obstetrics &amp; Gynecology, 2024. DOI: 10.1097/AOG.0000000000005532.</w:t>
      </w:r>
    </w:p>
    <w:p>
      <w:pPr>
        <w:pStyle w:val="ReferenceItem"/>
        <w:jc w:val="left"/>
      </w:pPr>
      <w:r>
        <w:rPr>
          <w:rFonts w:ascii="Times New Roman" w:hAnsi="Times New Roman" w:cs="Times New Roman" w:eastAsia="宋体"/>
          <w:sz w:val="21"/>
        </w:rPr>
        <w:t>[8] Stepan H, Galindo A, Hund M, et al. Clinical utility of sFlt-1 and PlGF in screening, prediction, diagnosis and monitoring of pre-eclampsia and fetal growth restriction[J]. Ultrasound in Obstetrics &amp; Gynecology, 2023. DOI: 10.1002/uog.26032.</w:t>
      </w:r>
    </w:p>
    <w:p>
      <w:pPr>
        <w:pStyle w:val="ReferenceItem"/>
        <w:jc w:val="left"/>
      </w:pPr>
      <w:r>
        <w:rPr>
          <w:rFonts w:ascii="Times New Roman" w:hAnsi="Times New Roman" w:cs="Times New Roman" w:eastAsia="宋体"/>
          <w:sz w:val="21"/>
        </w:rPr>
        <w:t>[9] Verlohren S, Brennecke S P, Galindo A, et al. Clinical interpretation and implementation of the sFlt-1/PlGF ratio in the prediction, diagnosis and management of preeclampsia[J]. Pregnancy Hypertension, 2022. DOI: 10.1016/j.preghy.2021.12.003.</w:t>
      </w:r>
    </w:p>
    <w:p>
      <w:pPr>
        <w:pStyle w:val="ReferenceItem"/>
        <w:jc w:val="left"/>
      </w:pPr>
      <w:r>
        <w:rPr>
          <w:rFonts w:ascii="Times New Roman" w:hAnsi="Times New Roman" w:cs="Times New Roman" w:eastAsia="宋体"/>
          <w:sz w:val="21"/>
        </w:rPr>
        <w:t>[10] Bremner L, Gill C, Seed P T, et al. Rule-in and rule-out of pre-eclampsia using DELFIA Xpress PlGF 1-2-3 and sFlt-1: PlGF ratio[J]. Pregnancy Hypertension, 2022. DOI: 10.1016/j.preghy.2021.12.008.</w:t>
      </w:r>
    </w:p>
    <w:p>
      <w:pPr>
        <w:pStyle w:val="ReferenceItem"/>
        <w:jc w:val="left"/>
      </w:pPr>
      <w:r>
        <w:rPr>
          <w:rFonts w:ascii="Times New Roman" w:hAnsi="Times New Roman" w:cs="Times New Roman" w:eastAsia="宋体"/>
          <w:sz w:val="21"/>
        </w:rPr>
        <w:t>[11] Caillon H, Tardif C, Dumontet E, et al. Evaluation of sFlt-1/PlGF Ratio for Predicting and Improving Clinical Management of Pre-eclampsia: Experience in a Specialized Perinatal Care Center[J]. Annals of Laboratory Medicine, 2018. DOI: 10.3343/alm.2018.38.2.95.</w:t>
      </w:r>
    </w:p>
    <w:p>
      <w:pPr>
        <w:pStyle w:val="ReferenceItem"/>
        <w:jc w:val="left"/>
      </w:pPr>
      <w:r>
        <w:rPr>
          <w:rFonts w:ascii="Times New Roman" w:hAnsi="Times New Roman" w:cs="Times New Roman" w:eastAsia="宋体"/>
          <w:sz w:val="21"/>
        </w:rPr>
        <w:t>[12] 杨岚, 等. 胎盘生长因子、可溶性fms样酪氨酸激酶-1及糖基化纤连蛋白在子痫前期预测中的应用价值[J]. 重庆医科大学学报, 2024. DOI: 10.13406/j.cnki.cyxb.003412.</w:t>
      </w:r>
    </w:p>
    <w:p>
      <w:pPr>
        <w:pStyle w:val="ReferenceItem"/>
        <w:jc w:val="left"/>
      </w:pPr>
      <w:r>
        <w:rPr>
          <w:rFonts w:ascii="Times New Roman" w:hAnsi="Times New Roman" w:cs="Times New Roman" w:eastAsia="宋体"/>
          <w:sz w:val="21"/>
        </w:rPr>
        <w:t>[13] Lafuente-Ganuza P, Lequerica-Fernandez P, Carretero F, et al. A more accurate prediction to rule in and rule out pre-eclampsia using the sFlt-1/PlGF ratio and NT-proBNP as biomarkers[J]. Clinical Chemistry and Laboratory Medicine, 2020. DOI: 10.1515/cclm-2019-0939.</w:t>
      </w:r>
    </w:p>
    <w:p>
      <w:pPr>
        <w:pStyle w:val="ReferenceItem"/>
        <w:jc w:val="left"/>
      </w:pPr>
      <w:r>
        <w:rPr>
          <w:rFonts w:ascii="Times New Roman" w:hAnsi="Times New Roman" w:cs="Times New Roman" w:eastAsia="宋体"/>
          <w:sz w:val="21"/>
        </w:rPr>
        <w:t>[14] Navaratnam K, Abreu P, Clarke H, et al. Evaluation of agreement of placental growth factor (PlGF) tests and the soluble FMS-like tyrosine kinase 1 (sFlt-1)/PlGF ratio, comparison of predictive accuracy for pre-eclampsia, and relation to uterine artery Doppler and response to aspirin[J]. Journal of Maternal-Fetal &amp; Neonatal Medicine, 2019. DOI: 10.1080/14767058.2017.1373760.</w:t>
      </w:r>
    </w:p>
    <w:p>
      <w:pPr>
        <w:pStyle w:val="ReferenceItem"/>
        <w:jc w:val="left"/>
      </w:pPr>
      <w:r>
        <w:rPr>
          <w:rFonts w:ascii="Times New Roman" w:hAnsi="Times New Roman" w:cs="Times New Roman" w:eastAsia="宋体"/>
          <w:sz w:val="21"/>
        </w:rPr>
        <w:t>[15] Stepan H, Hund M, Andraczek T. Combining Biomarkers to Predict Pregnancy Complications and Redefine Preeclampsia: The Angiogenic-Placental Syndrome[J]. Hypertension, 2020, 75(4): 918-926. DOI: 10.1161/HYPERTENSIONAHA.119.13763.</w:t>
      </w:r>
    </w:p>
    <w:p>
      <w:pPr>
        <w:pStyle w:val="ReferenceItem"/>
        <w:jc w:val="left"/>
      </w:pPr>
      <w:r>
        <w:rPr>
          <w:rFonts w:ascii="Times New Roman" w:hAnsi="Times New Roman" w:cs="Times New Roman" w:eastAsia="宋体"/>
          <w:sz w:val="21"/>
        </w:rPr>
        <w:t>[16] Aminuddin N A, Sutan R, Mahdy Z A, et al. The feasibility of soluble Fms-Like Tyrosine kinase-1 (sFLT-1) and Placental Growth Factor (PlGF) ratio biomarker in predicting preeclampsia and adverse pregnancy outcomes among medium to high risk mothers in Kuala Lumpur, Malaysia[J]. PLoS One, 2022, 17(3): e0265080. DOI: 10.1371/journal.pone.0265080.</w:t>
      </w:r>
    </w:p>
    <w:p>
      <w:pPr>
        <w:pStyle w:val="ReferenceItem"/>
        <w:jc w:val="left"/>
      </w:pPr>
      <w:r>
        <w:rPr>
          <w:rFonts w:ascii="Times New Roman" w:hAnsi="Times New Roman" w:cs="Times New Roman" w:eastAsia="宋体"/>
          <w:sz w:val="21"/>
        </w:rPr>
        <w:t>[17] Bucher V, Mitchell A R, Gudmundsson P, et al. Prediction of adverse maternal and perinatal outcomes associated with pre-eclampsia and hypertensive disorders of pregnancy: a systematic review and meta-analysis[J]. EClinicalMedicine, 2024, 76: 102861. DOI: 10.1016/j.eclinm.2024.102861.</w:t>
      </w:r>
    </w:p>
    <w:p>
      <w:pPr>
        <w:pStyle w:val="ReferenceItem"/>
        <w:jc w:val="left"/>
      </w:pPr>
      <w:r>
        <w:rPr>
          <w:rFonts w:ascii="Times New Roman" w:hAnsi="Times New Roman" w:cs="Times New Roman" w:eastAsia="宋体"/>
          <w:sz w:val="21"/>
        </w:rPr>
        <w:t>[18] Rosenberg E A, Seely E W. Update on Preeclampsia and Hypertensive Disorders of Pregnancy[J]. Endocrinology and Metabolism Clinics of North America, 2024, 53(3): 377-389. DOI: 10.1016/j.ecl.2024.05.012.</w:t>
      </w:r>
    </w:p>
    <w:sectPr>
      <w:headerReference w:type="default" r:id="rId23"/>
      <w:footerReference w:type="default" r:id="rId24"/>
      <w:pgSz w:w="11906" w:h="16838"/>
      <w:pgMar w:left="1417" w:right="1134" w:gutter="567" w:header="850" w:top="1417" w:footer="992" w:bottom="1417"/>
      <w:pgNumType w:fmt="decimal" w:start="1"/>
      <w:formProt w:val="false"/>
      <w:textDirection w:val="lrTb"/>
      <w:docGrid w:type="linesAndChar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谢莹" w:date="2018-11-04T20:00:00Z" w:initials="A">
    <w:p>
      <w:pPr>
        <w:overflowPunct w:val="false"/>
        <w:bidi w:val="0"/>
        <w:jc w:val="start"/>
        <w:rPr/>
      </w:pPr>
      <w:r>
        <w:annotationRef/>
      </w:r>
      <w:r>
        <w:rPr>
          <w:rFonts w:ascii="Times New Roman" w:hAnsi="Times New Roman" w:eastAsia="宋体;SimSun" w:cs="Times New Roman" w:hint="eastAsia"/>
          <w:color w:val="auto"/>
          <w:kern w:val="2"/>
          <w:sz w:val="21"/>
          <w:szCs w:val="24"/>
          <w:lang w:val="en-US" w:eastAsia="en-US" w:bidi="ar-SA"/>
        </w:rPr>
        <w:t>英文摘要与中文摘要对应，语句通顺，专业词汇使用准确</w:t>
      </w:r>
    </w:p>
  </w:comment>
  <w:comment w:id="1" w:author="谢莹" w:date="2018-11-04T20:01:00Z" w:initials="A">
    <w:p>
      <w:pPr>
        <w:overflowPunct w:val="false"/>
        <w:bidi w:val="0"/>
        <w:jc w:val="start"/>
        <w:rPr/>
      </w:pPr>
      <w:r>
        <w:annotationRef/>
      </w:r>
      <w:r>
        <w:rPr>
          <w:rFonts w:ascii="Times New Roman" w:hAnsi="Times New Roman" w:eastAsia="宋体;SimSun" w:cs="Times New Roman" w:hint="eastAsia"/>
          <w:color w:val="auto"/>
          <w:kern w:val="2"/>
          <w:sz w:val="21"/>
          <w:szCs w:val="24"/>
          <w:lang w:val="en-US" w:eastAsia="en-US" w:bidi="ar-SA"/>
        </w:rPr>
        <w:t>在引用处合理标注参考文献</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宋体">
    <w:altName w:val="SimSun"/>
    <w:charset w:val="86"/>
    <w:family w:val="auto"/>
    <w:pitch w:val="variable"/>
  </w:font>
  <w:font w:name="仿宋_GB2312">
    <w:altName w:val="仿宋"/>
    <w:charset w:val="86"/>
    <w:family w:val="modern"/>
    <w:pitch w:val="default"/>
  </w:font>
  <w:font w:name="Arial Unicode MS">
    <w:charset w:val="00" w:characterSet="windows-1252"/>
    <w:family w:val="swiss"/>
    <w:pitch w:val="variable"/>
  </w:font>
  <w:font w:name="Cambria">
    <w:charset w:val="00" w:characterSet="windows-1252"/>
    <w:family w:val="roman"/>
    <w:pitch w:val="variable"/>
  </w:font>
  <w:font w:name="黑体">
    <w:altName w:val="SimHei"/>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eastAsia="楷体_GB2312;楷体" w:hint="eastAsia"/>
      </w:rPr>
    </w:pPr>
    <w:r>
      <w:rPr>
        <w:rFonts w:eastAsia="楷体_GB2312;楷体"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ind w:end="360"/>
      <w:rPr>
        <w:rFonts w:eastAsia="楷体_GB2312;楷体" w:hint="eastAsia"/>
      </w:rPr>
    </w:pPr>
    <w:r>
      <w:rPr>
        <w:rFonts w:eastAsia="楷体_GB2312;楷体"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ind w:end="360"/>
      <w:rPr>
        <w:rFonts w:eastAsia="楷体_GB2312;楷体" w:hint="eastAsia"/>
      </w:rPr>
    </w:pPr>
    <w:r>
      <w:rPr>
        <w:rFonts w:eastAsia="楷体_GB2312;楷体" w:hint="eastAsia"/>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p>
    <w:pPr>
      <w:pStyle w:val="Footer"/>
      <w:ind w:end="360"/>
      <w:rPr>
        <w:rFonts w:eastAsia="楷体_GB2312;楷体" w:hint="eastAsia"/>
      </w:rPr>
    </w:pPr>
    <w:r>
      <w:rPr>
        <w:rFonts w:eastAsia="楷体_GB2312;楷体" w:hint="eastAsia"/>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宋体"/>
        <w:color w:val="595959"/>
        <w:sz w:val="21"/>
      </w:rPr>
      <w:t xml:space="preserve">- </w:t>
    </w:r>
    <w:r>
      <w:rPr>
        <w:rFonts w:ascii="Times New Roman" w:hAnsi="Times New Roman" w:cs="Times New Roman" w:eastAsia="宋体"/>
        <w:sz w:val="21"/>
      </w:rPr>
      <w:fldChar w:fldCharType="begin"/>
      <w:instrText xml:space="preserve">PAGE</w:instrText>
      <w:fldChar w:fldCharType="separate"/>
      <w:t>1</w:t>
      <w:fldChar w:fldCharType="end"/>
    </w:r>
    <w:r>
      <w:rPr>
        <w:rFonts w:ascii="Times New Roman" w:hAnsi="Times New Roman" w:cs="Times New Roman" w:eastAsia="宋体"/>
        <w:color w:val="595959"/>
        <w:sz w:val="21"/>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沈阳城市学院毕业论文（文献检索与论文写作）</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沈阳城市学院毕业论文（文献检索与论文写作）</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宋体"/>
        <w:color w:val="595959"/>
        <w:sz w:val="19"/>
      </w:rPr>
      <w:t>《文献检索与论文写作》课程论文</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C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360" w:lineRule="auto" w:before="0" w:after="0"/>
      <w:jc w:val="both"/>
    </w:pPr>
    <w:rPr>
      <w:rFonts w:ascii="Times New Roman" w:hAnsi="Times New Roman" w:eastAsia="宋体" w:cs="Times New Roman"/>
      <w:b w:val="0"/>
      <w:color w:val="auto"/>
      <w:kern w:val="2"/>
      <w:sz w:val="24"/>
      <w:szCs w:val="24"/>
      <w:lang w:bidi="ar-SA" w:val="en-US" w:eastAsia="zh-CN"/>
    </w:rPr>
  </w:style>
  <w:style w:type="paragraph" w:styleId="Heading1">
    <w:name w:val="heading 1"/>
    <w:basedOn w:val="Normal"/>
    <w:next w:val="Normal"/>
    <w:qFormat/>
    <w:pPr>
      <w:keepNext w:val="true"/>
      <w:keepLines/>
      <w:numPr>
        <w:ilvl w:val="0"/>
        <w:numId w:val="1"/>
      </w:numPr>
      <w:snapToGrid w:val="false"/>
      <w:spacing w:lineRule="auto" w:line="300" w:before="240" w:after="160"/>
      <w:outlineLvl w:val="0"/>
    </w:pPr>
    <w:rPr>
      <w:rFonts w:eastAsia="黑体" w:ascii="Times New Roman" w:hAnsi="Times New Roman" w:cs="Times New Roman"/>
      <w:b w:val="0"/>
      <w:bCs/>
      <w:color w:val="000000"/>
      <w:kern w:val="2"/>
      <w:sz w:val="32"/>
      <w:szCs w:val="44"/>
    </w:rPr>
  </w:style>
  <w:style w:type="paragraph" w:styleId="Heading2">
    <w:name w:val="heading 2"/>
    <w:basedOn w:val="Normal"/>
    <w:next w:val="Normal"/>
    <w:qFormat/>
    <w:pPr>
      <w:keepNext w:val="true"/>
      <w:keepLines/>
      <w:numPr>
        <w:ilvl w:val="1"/>
        <w:numId w:val="1"/>
      </w:numPr>
      <w:snapToGrid w:val="false"/>
      <w:spacing w:lineRule="auto" w:line="300" w:before="160" w:after="80"/>
      <w:jc w:val="start"/>
      <w:outlineLvl w:val="1"/>
    </w:pPr>
    <w:rPr>
      <w:rFonts w:ascii="Times New Roman" w:hAnsi="Times New Roman" w:eastAsia="黑体" w:cs="Times New Roman"/>
      <w:b w:val="0"/>
      <w:bCs/>
      <w:color w:val="000000"/>
      <w:sz w:val="28"/>
      <w:szCs w:val="32"/>
    </w:rPr>
  </w:style>
  <w:style w:type="paragraph" w:styleId="Heading3">
    <w:name w:val="heading 3"/>
    <w:basedOn w:val="Normal"/>
    <w:next w:val="Normal"/>
    <w:qFormat/>
    <w:pPr>
      <w:keepNext w:val="true"/>
      <w:keepLines/>
      <w:numPr>
        <w:ilvl w:val="2"/>
        <w:numId w:val="1"/>
      </w:numPr>
      <w:snapToGrid w:val="false"/>
      <w:spacing w:lineRule="auto" w:line="300" w:before="120" w:after="60"/>
      <w:outlineLvl w:val="2"/>
    </w:pPr>
    <w:rPr>
      <w:rFonts w:eastAsia="黑体" w:ascii="Times New Roman" w:hAnsi="Times New Roman" w:cs="Times New Roman"/>
      <w:b w:val="0"/>
      <w:bCs/>
      <w:color w:val="000000"/>
      <w:sz w:val="26"/>
      <w:szCs w:val="32"/>
    </w:rPr>
  </w:style>
  <w:style w:type="paragraph" w:styleId="Heading4">
    <w:name w:val="heading 4"/>
    <w:basedOn w:val="Normal"/>
    <w:next w:val="Normal"/>
    <w:qFormat/>
    <w:pPr>
      <w:keepNext w:val="true"/>
      <w:numPr>
        <w:ilvl w:val="3"/>
        <w:numId w:val="1"/>
      </w:numPr>
      <w:spacing w:lineRule="auto" w:line="360"/>
      <w:outlineLvl w:val="3"/>
    </w:pPr>
    <w:rPr>
      <w:b/>
      <w:bCs/>
      <w:sz w:val="24"/>
    </w:rPr>
  </w:style>
  <w:style w:type="paragraph" w:styleId="Heading5">
    <w:name w:val="heading 5"/>
    <w:basedOn w:val="Normal"/>
    <w:next w:val="Normal"/>
    <w:qFormat/>
    <w:pPr>
      <w:keepNext w:val="true"/>
      <w:numPr>
        <w:ilvl w:val="4"/>
        <w:numId w:val="1"/>
      </w:numPr>
      <w:spacing w:lineRule="auto" w:line="360"/>
      <w:jc w:val="center"/>
      <w:outlineLvl w:val="4"/>
    </w:pPr>
    <w:rPr>
      <w:b/>
      <w:bCs/>
      <w:sz w:val="30"/>
    </w:rPr>
  </w:style>
  <w:style w:type="character" w:styleId="Style9">
    <w:name w:val="默认段落字体"/>
    <w:qFormat/>
    <w:rPr/>
  </w:style>
  <w:style w:type="character" w:styleId="Style10">
    <w:name w:val="批注文字 字符"/>
    <w:qFormat/>
    <w:rPr>
      <w:kern w:val="2"/>
      <w:sz w:val="21"/>
      <w:szCs w:val="24"/>
    </w:rPr>
  </w:style>
  <w:style w:type="character" w:styleId="Style11">
    <w:name w:val="纯文本 字符"/>
    <w:qFormat/>
    <w:rPr>
      <w:rFonts w:ascii="宋体;SimSun" w:hAnsi="宋体;SimSun" w:cs="Courier New"/>
      <w:kern w:val="2"/>
      <w:sz w:val="21"/>
    </w:rPr>
  </w:style>
  <w:style w:type="character" w:styleId="Style12">
    <w:name w:val="批注框文本 字符"/>
    <w:qFormat/>
    <w:rPr>
      <w:kern w:val="2"/>
      <w:sz w:val="18"/>
      <w:szCs w:val="18"/>
    </w:rPr>
  </w:style>
  <w:style w:type="character" w:styleId="Style13">
    <w:name w:val="页脚 字符"/>
    <w:qFormat/>
    <w:rPr>
      <w:kern w:val="2"/>
      <w:sz w:val="18"/>
      <w:szCs w:val="18"/>
    </w:rPr>
  </w:style>
  <w:style w:type="character" w:styleId="Style14">
    <w:name w:val="页眉 字符"/>
    <w:qFormat/>
    <w:rPr>
      <w:kern w:val="2"/>
      <w:sz w:val="18"/>
      <w:szCs w:val="18"/>
    </w:rPr>
  </w:style>
  <w:style w:type="character" w:styleId="2">
    <w:name w:val="正文文本 2 字符"/>
    <w:qFormat/>
    <w:rPr>
      <w:kern w:val="2"/>
      <w:sz w:val="21"/>
      <w:szCs w:val="24"/>
    </w:rPr>
  </w:style>
  <w:style w:type="character" w:styleId="Style15">
    <w:name w:val="标题 字符"/>
    <w:qFormat/>
    <w:rPr>
      <w:rFonts w:eastAsia="黑体;SimHei"/>
      <w:b/>
      <w:bCs/>
      <w:kern w:val="2"/>
      <w:sz w:val="32"/>
      <w:szCs w:val="24"/>
    </w:rPr>
  </w:style>
  <w:style w:type="character" w:styleId="Style16">
    <w:name w:val="批注主题 字符"/>
    <w:qFormat/>
    <w:rPr>
      <w:b/>
      <w:bCs/>
      <w:kern w:val="2"/>
      <w:sz w:val="21"/>
      <w:szCs w:val="24"/>
    </w:rPr>
  </w:style>
  <w:style w:type="character" w:styleId="Style17">
    <w:name w:val="尾注符"/>
    <w:qFormat/>
    <w:rPr>
      <w:vertAlign w:val="superscript"/>
    </w:rPr>
  </w:style>
  <w:style w:type="character" w:styleId="PageNumber">
    <w:name w:val="page number"/>
    <w:rPr/>
  </w:style>
  <w:style w:type="character" w:styleId="Hyperlink">
    <w:name w:val="Hyperlink"/>
    <w:rPr>
      <w:color w:val="0000FF"/>
      <w:u w:val="single"/>
    </w:rPr>
  </w:style>
  <w:style w:type="character" w:styleId="Style18">
    <w:name w:val="批注引用"/>
    <w:qFormat/>
    <w:rPr>
      <w:sz w:val="21"/>
      <w:szCs w:val="21"/>
    </w:rPr>
  </w:style>
  <w:style w:type="character" w:styleId="Style19">
    <w:name w:val="脚注符"/>
    <w:qFormat/>
    <w:rPr>
      <w:vertAlign w:val="superscript"/>
    </w:rPr>
  </w:style>
  <w:style w:type="character" w:styleId="Style20">
    <w:name w:val="索引链接"/>
    <w:qFormat/>
    <w:rPr/>
  </w:style>
  <w:style w:type="paragraph" w:styleId="Style21">
    <w:name w:val="标题样式"/>
    <w:basedOn w:val="Normal"/>
    <w:next w:val="BodyText"/>
    <w:qFormat/>
    <w:pPr>
      <w:jc w:val="center"/>
    </w:pPr>
    <w:rPr>
      <w:rFonts w:eastAsia="黑体;SimHei"/>
      <w:b/>
      <w:bCs/>
      <w:sz w:val="3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2">
    <w:name w:val="索引"/>
    <w:basedOn w:val="Normal"/>
    <w:qFormat/>
    <w:pPr>
      <w:suppressLineNumbers/>
    </w:pPr>
    <w:rPr>
      <w:rFonts w:cs="Lucida Sans"/>
    </w:rPr>
  </w:style>
  <w:style w:type="paragraph" w:styleId="Style23">
    <w:name w:val="批注文字"/>
    <w:basedOn w:val="Normal"/>
    <w:qFormat/>
    <w:pPr>
      <w:jc w:val="start"/>
    </w:pPr>
    <w:rPr/>
  </w:style>
  <w:style w:type="paragraph" w:styleId="BodyTextIndent">
    <w:name w:val="Body Text Indent"/>
    <w:basedOn w:val="Normal"/>
    <w:pPr>
      <w:spacing w:lineRule="atLeast" w:line="400"/>
      <w:ind w:firstLine="480" w:start="0" w:end="0"/>
    </w:pPr>
    <w:rPr>
      <w:sz w:val="24"/>
      <w:szCs w:val="20"/>
    </w:rPr>
  </w:style>
  <w:style w:type="paragraph" w:styleId="Style24">
    <w:name w:val="文本块"/>
    <w:basedOn w:val="Normal"/>
    <w:qFormat/>
    <w:pPr>
      <w:autoSpaceDE w:val="false"/>
      <w:spacing w:lineRule="atLeast" w:line="321"/>
      <w:ind w:firstLine="420" w:start="175" w:end="6"/>
    </w:pPr>
    <w:rPr>
      <w:kern w:val="0"/>
      <w:szCs w:val="21"/>
    </w:rPr>
  </w:style>
  <w:style w:type="paragraph" w:styleId="TOC3">
    <w:name w:val="toc 3"/>
    <w:basedOn w:val="Normal"/>
    <w:next w:val="Normal"/>
    <w:pPr>
      <w:snapToGrid w:val="false"/>
      <w:spacing w:lineRule="auto" w:line="300"/>
      <w:ind w:firstLineChars="0" w:firstLine="0" w:startChars="400" w:endChars="0" w:end="0"/>
    </w:pPr>
    <w:rPr>
      <w:sz w:val="28"/>
    </w:rPr>
  </w:style>
  <w:style w:type="paragraph" w:styleId="Style25">
    <w:name w:val="纯文本"/>
    <w:basedOn w:val="Normal"/>
    <w:qFormat/>
    <w:pPr/>
    <w:rPr>
      <w:rFonts w:ascii="宋体;SimSun" w:hAnsi="宋体;SimSun" w:cs="Courier New"/>
      <w:szCs w:val="20"/>
    </w:rPr>
  </w:style>
  <w:style w:type="paragraph" w:styleId="21">
    <w:name w:val="正文文本缩进 2"/>
    <w:basedOn w:val="Normal"/>
    <w:qFormat/>
    <w:pPr>
      <w:spacing w:lineRule="atLeast" w:line="600"/>
      <w:ind w:firstLine="735" w:start="0" w:end="0"/>
    </w:pPr>
    <w:rPr>
      <w:rFonts w:ascii="仿宋_GB2312;仿宋" w:hAnsi="仿宋_GB2312;仿宋" w:eastAsia="仿宋_GB2312;仿宋" w:hint="eastAsia"/>
      <w:sz w:val="32"/>
      <w:szCs w:val="20"/>
    </w:rPr>
  </w:style>
  <w:style w:type="paragraph" w:styleId="EndnoteText">
    <w:name w:val="endnote text"/>
    <w:basedOn w:val="Normal"/>
    <w:pPr>
      <w:snapToGrid w:val="false"/>
      <w:jc w:val="start"/>
    </w:pPr>
    <w:rPr/>
  </w:style>
  <w:style w:type="paragraph" w:styleId="Style26">
    <w:name w:val="批注框文本"/>
    <w:basedOn w:val="Normal"/>
    <w:qFormat/>
    <w:pPr/>
    <w:rPr>
      <w:sz w:val="18"/>
      <w:szCs w:val="18"/>
    </w:rPr>
  </w:style>
  <w:style w:type="paragraph" w:styleId="Style27">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napToGrid w:val="false"/>
      <w:spacing w:lineRule="auto" w:line="300"/>
    </w:pPr>
    <w:rPr>
      <w:sz w:val="28"/>
    </w:rPr>
  </w:style>
  <w:style w:type="paragraph" w:styleId="FootnoteText">
    <w:name w:val="footnote text"/>
    <w:basedOn w:val="Normal"/>
    <w:pPr>
      <w:snapToGrid w:val="false"/>
      <w:jc w:val="start"/>
    </w:pPr>
    <w:rPr>
      <w:sz w:val="18"/>
      <w:szCs w:val="18"/>
    </w:rPr>
  </w:style>
  <w:style w:type="paragraph" w:styleId="3">
    <w:name w:val="正文文本缩进 3"/>
    <w:basedOn w:val="Normal"/>
    <w:qFormat/>
    <w:pPr>
      <w:spacing w:lineRule="atLeast" w:line="360"/>
      <w:ind w:firstLine="735" w:start="0" w:end="0"/>
    </w:pPr>
    <w:rPr>
      <w:rFonts w:ascii="仿宋_GB2312;仿宋" w:hAnsi="仿宋_GB2312;仿宋" w:eastAsia="仿宋_GB2312;仿宋" w:hint="eastAsia"/>
      <w:sz w:val="24"/>
    </w:rPr>
  </w:style>
  <w:style w:type="paragraph" w:styleId="TOC2">
    <w:name w:val="toc 2"/>
    <w:basedOn w:val="Normal"/>
    <w:next w:val="Normal"/>
    <w:pPr>
      <w:snapToGrid w:val="false"/>
      <w:spacing w:lineRule="auto" w:line="300"/>
      <w:ind w:firstLineChars="0" w:firstLine="0" w:startChars="200" w:endChars="0" w:end="0"/>
    </w:pPr>
    <w:rPr>
      <w:sz w:val="28"/>
    </w:rPr>
  </w:style>
  <w:style w:type="paragraph" w:styleId="22">
    <w:name w:val="正文文本 2"/>
    <w:basedOn w:val="Normal"/>
    <w:qFormat/>
    <w:pPr>
      <w:spacing w:lineRule="auto" w:line="480" w:before="0" w:after="120"/>
    </w:pPr>
    <w:rPr/>
  </w:style>
  <w:style w:type="paragraph" w:styleId="Style28">
    <w:name w:val="普通(网站)"/>
    <w:basedOn w:val="Normal"/>
    <w:qFormat/>
    <w:pPr>
      <w:widowControl/>
      <w:spacing w:before="100" w:after="100"/>
      <w:jc w:val="start"/>
    </w:pPr>
    <w:rPr>
      <w:rFonts w:ascii="Arial Unicode MS" w:hAnsi="Arial Unicode MS" w:eastAsia="Arial Unicode MS" w:cs="Arial Unicode MS"/>
      <w:kern w:val="0"/>
      <w:sz w:val="24"/>
    </w:rPr>
  </w:style>
  <w:style w:type="paragraph" w:styleId="Style29">
    <w:name w:val="批注主题"/>
    <w:basedOn w:val="Style23"/>
    <w:next w:val="Style23"/>
    <w:qFormat/>
    <w:pPr/>
    <w:rPr>
      <w:b/>
      <w:bCs/>
    </w:rPr>
  </w:style>
  <w:style w:type="paragraph" w:styleId="31">
    <w:name w:val="样式3"/>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TOC">
    <w:name w:val="TOC 标题"/>
    <w:basedOn w:val="Heading1"/>
    <w:next w:val="Normal"/>
    <w:qFormat/>
    <w:pPr>
      <w:widowControl/>
      <w:numPr>
        <w:ilvl w:val="0"/>
        <w:numId w:val="0"/>
      </w:numPr>
      <w:snapToGrid w:val="true"/>
      <w:spacing w:lineRule="auto" w:line="276" w:before="480" w:after="0"/>
      <w:jc w:val="start"/>
      <w:outlineLvl w:val="9"/>
    </w:pPr>
    <w:rPr>
      <w:rFonts w:ascii="Cambria" w:hAnsi="Cambria" w:eastAsia="宋体;SimSun" w:cs="Times New Roman"/>
      <w:b/>
      <w:color w:val="365F91"/>
      <w:kern w:val="0"/>
      <w:sz w:val="28"/>
      <w:szCs w:val="28"/>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paragraph" w:customStyle="1" w:styleId="CourseCode">
    <w:name w:val="Course Code"/>
    <w:pPr>
      <w:spacing w:before="0" w:after="0" w:line="276" w:lineRule="auto"/>
    </w:pPr>
    <w:rPr>
      <w:rFonts w:ascii="Courier New" w:hAnsi="Courier New" w:cs="Courier New" w:eastAsia="宋体"/>
      <w:b w:val="0"/>
      <w:sz w:val="19"/>
    </w:rPr>
  </w:style>
  <w:style w:type="paragraph" w:customStyle="1" w:styleId="ReferenceItem">
    <w:name w:val="Reference Item"/>
    <w:pPr>
      <w:spacing w:line="276" w:lineRule="auto" w:after="80"/>
      <w:ind w:left="420" w:hanging="420"/>
    </w:pPr>
    <w:rPr>
      <w:rFonts w:ascii="Times New Roman" w:hAnsi="Times New Roman" w:cs="Times New Roman" w:eastAsia="宋体"/>
      <w:b w:val="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image" Target="media/image1.png"/><Relationship Id="rId6" Type="http://schemas.openxmlformats.org/officeDocument/2006/relationships/oleObject" Target="embeddings/oleObject1.bin"/><Relationship Id="rId7" Type="http://schemas.openxmlformats.org/officeDocument/2006/relationships/image" Target="media/image2.wmf"/><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header" Target="header6.xml"/><Relationship Id="rId22" Type="http://schemas.openxmlformats.org/officeDocument/2006/relationships/footer" Target="footer7.xml"/><Relationship Id="rId23" Type="http://schemas.openxmlformats.org/officeDocument/2006/relationships/header" Target="header7.xml"/><Relationship Id="rId24" Type="http://schemas.openxmlformats.org/officeDocument/2006/relationships/footer" Target="footer8.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2018-01-01T11:42:00Z</dcterms:created>
  <dc:creator/>
  <dc:description/>
  <cp:keywords>课程论文; 文献检索; 子痫前期; sFlt-1/PlGF</cp:keywords>
  <dc:language>zh-CN</dc:language>
  <cp:lastModifiedBy/>
  <cp:lastPrinted>2023-02-28T11:02:00Z</cp:lastPrinted>
  <dcterms:modified xsi:type="dcterms:W3CDTF">2026-06-05T22:09:00Z</dcterms:modified>
  <cp:revision>2</cp:revision>
  <dc:subject>文献检索与论文写作课程论文</dc:subject>
  <dc:title>可溶性fms样酪氨酸激酶-1/胎盘生长因子比值在子痫前期早期预测中的临床检验应用进展</dc:title>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18d7a98b-fea8-44b2-ae3e-ade855020475</vt:lpwstr>
  </property>
  <property fmtid="{D5CDD505-2E9C-101B-9397-08002B2CF9AE}" pid="3" name="ICV">
    <vt:lpwstr>13E41082BA0B4DC99F816E160BD99080_12</vt:lpwstr>
  </property>
  <property fmtid="{D5CDD505-2E9C-101B-9397-08002B2CF9AE}" pid="4" name="KSOProductBuildVer">
    <vt:lpwstr>2052-12.1.0.25225</vt:lpwstr>
  </property>
  <property fmtid="{D5CDD505-2E9C-101B-9397-08002B2CF9AE}" pid="5" name="KSOTemplateDocerSaveRecord">
    <vt:lpwstr>eyJoZGlkIjoiNWEzNGNhMWVjYzNkYTAzM2QzYWQ4YjdkNjA0ZjMwMmQiLCJ1c2VySWQiOiIzNzYxMjIyOTIifQ==</vt:lpwstr>
  </property>
</Properties>
</file>